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9" w:type="dxa"/>
        <w:jc w:val="center"/>
        <w:tblLook w:val="01E0" w:firstRow="1" w:lastRow="1" w:firstColumn="1" w:lastColumn="1" w:noHBand="0" w:noVBand="0"/>
      </w:tblPr>
      <w:tblGrid>
        <w:gridCol w:w="4111"/>
        <w:gridCol w:w="6018"/>
      </w:tblGrid>
      <w:tr w:rsidR="00492C3B" w:rsidRPr="001338E8" w14:paraId="1A37AED3" w14:textId="77777777" w:rsidTr="006F2807">
        <w:trPr>
          <w:jc w:val="center"/>
        </w:trPr>
        <w:tc>
          <w:tcPr>
            <w:tcW w:w="4111" w:type="dxa"/>
            <w:shd w:val="clear" w:color="auto" w:fill="auto"/>
          </w:tcPr>
          <w:p w14:paraId="0750C618" w14:textId="4DC4946B" w:rsidR="00306A90" w:rsidRPr="001338E8" w:rsidRDefault="00DD1027" w:rsidP="00495B7F">
            <w:pPr>
              <w:jc w:val="center"/>
              <w:rPr>
                <w:b/>
                <w:sz w:val="26"/>
                <w:szCs w:val="26"/>
              </w:rPr>
            </w:pPr>
            <w:r>
              <w:rPr>
                <w:b/>
                <w:sz w:val="26"/>
                <w:szCs w:val="26"/>
              </w:rPr>
              <w:t xml:space="preserve"> </w:t>
            </w:r>
            <w:r w:rsidR="00306A90" w:rsidRPr="001338E8">
              <w:rPr>
                <w:b/>
                <w:sz w:val="26"/>
                <w:szCs w:val="26"/>
              </w:rPr>
              <w:t>ỦY BAN NHÂN DÂN</w:t>
            </w:r>
          </w:p>
          <w:p w14:paraId="40CC3DCB" w14:textId="77777777" w:rsidR="00142936" w:rsidRPr="001338E8" w:rsidRDefault="00142936" w:rsidP="00495B7F">
            <w:pPr>
              <w:jc w:val="center"/>
              <w:rPr>
                <w:b/>
                <w:sz w:val="26"/>
                <w:szCs w:val="26"/>
              </w:rPr>
            </w:pPr>
            <w:r w:rsidRPr="001338E8">
              <w:rPr>
                <w:b/>
                <w:sz w:val="26"/>
                <w:szCs w:val="26"/>
              </w:rPr>
              <w:t xml:space="preserve"> TỈNH TRÀ VINH</w:t>
            </w:r>
          </w:p>
          <w:p w14:paraId="766B5BA0" w14:textId="77777777" w:rsidR="00142936" w:rsidRPr="001338E8" w:rsidRDefault="00283713" w:rsidP="00495B7F">
            <w:pPr>
              <w:spacing w:before="240"/>
              <w:jc w:val="center"/>
              <w:rPr>
                <w:sz w:val="26"/>
                <w:szCs w:val="26"/>
              </w:rPr>
            </w:pPr>
            <w:r w:rsidRPr="008449B7">
              <w:rPr>
                <w:noProof/>
                <w:sz w:val="26"/>
                <w:szCs w:val="26"/>
              </w:rPr>
              <mc:AlternateContent>
                <mc:Choice Requires="wps">
                  <w:drawing>
                    <wp:anchor distT="0" distB="0" distL="114300" distR="114300" simplePos="0" relativeHeight="251659264" behindDoc="0" locked="0" layoutInCell="1" allowOverlap="1" wp14:anchorId="6A9C9CD6" wp14:editId="794E2FDD">
                      <wp:simplePos x="0" y="0"/>
                      <wp:positionH relativeFrom="column">
                        <wp:posOffset>964565</wp:posOffset>
                      </wp:positionH>
                      <wp:positionV relativeFrom="paragraph">
                        <wp:posOffset>23390</wp:posOffset>
                      </wp:positionV>
                      <wp:extent cx="561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A0182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95pt,1.85pt" to="120.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udtQEAALYDAAAOAAAAZHJzL2Uyb0RvYy54bWysU8GO0zAQvSPxD5bvNG2lXSBquoeu4IKg&#10;YtkP8DrjxsL2WGPTpH/P2G2zCBBCiIvjsd97M2882dxN3okjULIYOrlaLKWAoLG34dDJxy/vXr2R&#10;ImUVeuUwQCdPkOTd9uWLzRhbWOOArgcSLBJSO8ZODjnHtmmSHsCrtMAIgS8NkleZQzo0PamR1b1r&#10;1svlbTMi9ZFQQ0p8en++lNuqbwzo/MmYBFm4TnJtua5U16eyNtuNag+k4mD1pQz1D1V4ZQMnnaXu&#10;VVbiG9lfpLzVhAlNXmj0DRpjNVQP7Ga1/MnNw6AiVC/cnBTnNqX/J6s/HvckbN/JtRRBeX6ih0zK&#10;HoYsdhgCNxBJrEufxphahu/Cni5RinsqpidDvnzZjphqb09zb2HKQvPhze3q7esbKfT1qnnmRUr5&#10;PaAXZdNJZ0NxrVp1/JAy52LoFcJBqeOcue7yyUEBu/AZDDvhXKvKrjMEO0fiqPj1+6+r4oK1KrJQ&#10;jHVuJi3/TLpgCw3qXP0tcUbXjBjyTPQ2IP0ua56upZoz/ur67LXYfsL+VN+htoOHozq7DHKZvh/j&#10;Sn/+3bbfAQAA//8DAFBLAwQUAAYACAAAACEA4pnX2dsAAAAHAQAADwAAAGRycy9kb3ducmV2Lnht&#10;bEyOwU7DMBBE70j8g7VI3KjTUpoS4lRVgRM9hMCBoxsvSdR4HcVuEvh6Fi7l+DSjmZduJtuKAXvf&#10;OFIwn0UgkEpnGqoUvL8936xB+KDJ6NYRKvhCD5vs8iLViXEjveJQhErwCPlEK6hD6BIpfVmj1X7m&#10;OiTOPl1vdWDsK2l6PfK4beUiilbS6ob4odYd7mosj8XJKoifXoq8Gx/337mMZZ4PLqyPH0pdX03b&#10;BxABp3Auw68+q0PGTgd3IuNFy3w3v+eqgtsYBOeLZbQEcfhjmaXyv3/2AwAA//8DAFBLAQItABQA&#10;BgAIAAAAIQC2gziS/gAAAOEBAAATAAAAAAAAAAAAAAAAAAAAAABbQ29udGVudF9UeXBlc10ueG1s&#10;UEsBAi0AFAAGAAgAAAAhADj9If/WAAAAlAEAAAsAAAAAAAAAAAAAAAAALwEAAF9yZWxzLy5yZWxz&#10;UEsBAi0AFAAGAAgAAAAhAPBmK521AQAAtgMAAA4AAAAAAAAAAAAAAAAALgIAAGRycy9lMm9Eb2Mu&#10;eG1sUEsBAi0AFAAGAAgAAAAhAOKZ19nbAAAABwEAAA8AAAAAAAAAAAAAAAAADwQAAGRycy9kb3du&#10;cmV2LnhtbFBLBQYAAAAABAAEAPMAAAAXBQAAAAA=&#10;" strokecolor="black [3040]"/>
                  </w:pict>
                </mc:Fallback>
              </mc:AlternateContent>
            </w:r>
            <w:r w:rsidR="00306A90" w:rsidRPr="001338E8">
              <w:rPr>
                <w:sz w:val="26"/>
                <w:szCs w:val="26"/>
              </w:rPr>
              <w:t xml:space="preserve">Số: </w:t>
            </w:r>
            <w:r w:rsidR="007C7015" w:rsidRPr="001338E8">
              <w:rPr>
                <w:sz w:val="26"/>
                <w:szCs w:val="26"/>
              </w:rPr>
              <w:t xml:space="preserve">        </w:t>
            </w:r>
            <w:r w:rsidR="00306A90" w:rsidRPr="001338E8">
              <w:rPr>
                <w:sz w:val="26"/>
                <w:szCs w:val="26"/>
              </w:rPr>
              <w:t>/TTr-UBND</w:t>
            </w:r>
          </w:p>
          <w:p w14:paraId="0FA702E3" w14:textId="156061E3" w:rsidR="007C7015" w:rsidRPr="001338E8" w:rsidRDefault="00D612D0" w:rsidP="00495B7F">
            <w:pPr>
              <w:spacing w:before="120"/>
              <w:jc w:val="center"/>
              <w:rPr>
                <w:b/>
                <w:sz w:val="24"/>
                <w:szCs w:val="24"/>
              </w:rPr>
            </w:pPr>
            <w:r w:rsidRPr="001338E8">
              <w:rPr>
                <w:b/>
                <w:sz w:val="24"/>
                <w:szCs w:val="24"/>
              </w:rPr>
              <w:t>(DỰ THẢO)</w:t>
            </w:r>
          </w:p>
        </w:tc>
        <w:tc>
          <w:tcPr>
            <w:tcW w:w="6018" w:type="dxa"/>
            <w:shd w:val="clear" w:color="auto" w:fill="auto"/>
          </w:tcPr>
          <w:p w14:paraId="15267863" w14:textId="77777777" w:rsidR="00142936" w:rsidRPr="001338E8" w:rsidRDefault="00142936" w:rsidP="00495B7F">
            <w:pPr>
              <w:jc w:val="center"/>
              <w:rPr>
                <w:b/>
                <w:sz w:val="26"/>
                <w:szCs w:val="26"/>
              </w:rPr>
            </w:pPr>
            <w:r w:rsidRPr="001338E8">
              <w:rPr>
                <w:b/>
                <w:sz w:val="26"/>
                <w:szCs w:val="26"/>
              </w:rPr>
              <w:t>CỘNG HÒA XÃ HỘI CHỦ NGHĨA VIỆT NAM</w:t>
            </w:r>
          </w:p>
          <w:p w14:paraId="7FE53119" w14:textId="77777777" w:rsidR="00142936" w:rsidRPr="001338E8" w:rsidRDefault="00142936" w:rsidP="00495B7F">
            <w:pPr>
              <w:jc w:val="center"/>
              <w:rPr>
                <w:b/>
              </w:rPr>
            </w:pPr>
            <w:r w:rsidRPr="001338E8">
              <w:rPr>
                <w:b/>
              </w:rPr>
              <w:t>Độc lập - Tự do - Hạnh phúc</w:t>
            </w:r>
          </w:p>
          <w:p w14:paraId="169982B2" w14:textId="58422D8B" w:rsidR="00142936" w:rsidRPr="001338E8" w:rsidRDefault="00283713" w:rsidP="00495B7F">
            <w:pPr>
              <w:spacing w:before="240"/>
              <w:jc w:val="center"/>
              <w:rPr>
                <w:i/>
              </w:rPr>
            </w:pPr>
            <w:r w:rsidRPr="008449B7">
              <w:rPr>
                <w:noProof/>
              </w:rPr>
              <mc:AlternateContent>
                <mc:Choice Requires="wps">
                  <w:drawing>
                    <wp:anchor distT="0" distB="0" distL="114300" distR="114300" simplePos="0" relativeHeight="251657216" behindDoc="0" locked="0" layoutInCell="1" allowOverlap="1" wp14:anchorId="60F9D873" wp14:editId="044032BC">
                      <wp:simplePos x="0" y="0"/>
                      <wp:positionH relativeFrom="column">
                        <wp:posOffset>772160</wp:posOffset>
                      </wp:positionH>
                      <wp:positionV relativeFrom="paragraph">
                        <wp:posOffset>34820</wp:posOffset>
                      </wp:positionV>
                      <wp:extent cx="2154170" cy="0"/>
                      <wp:effectExtent l="0" t="0" r="36830" b="19050"/>
                      <wp:wrapNone/>
                      <wp:docPr id="1" name="Straight Connector 1"/>
                      <wp:cNvGraphicFramePr/>
                      <a:graphic xmlns:a="http://schemas.openxmlformats.org/drawingml/2006/main">
                        <a:graphicData uri="http://schemas.microsoft.com/office/word/2010/wordprocessingShape">
                          <wps:wsp>
                            <wps:cNvCnPr/>
                            <wps:spPr>
                              <a:xfrm flipV="1">
                                <a:off x="0" y="0"/>
                                <a:ext cx="2154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C5754"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2.75pt" to="230.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0XtvQEAAMEDAAAOAAAAZHJzL2Uyb0RvYy54bWysU01v2zAMvQ/ofxB0X2wH+4IRp4cU22XY&#10;gnXtXZWpWJi+QGmx8+9HyYlXdBtQFLsIpsT3yPdIb64na9gRMGrvOt6sas7ASd9rd+j43fePrz9w&#10;FpNwvTDeQcdPEPn19urVZgwtrP3gTQ/IiMTFdgwdH1IKbVVFOYAVceUDOHpUHq1IFOKh6lGMxG5N&#10;ta7rd9XosQ/oJcRItzfzI98WfqVApq9KRUjMdJx6S+XEcj7ks9puRHtAEQYtz22IF3RhhXZUdKG6&#10;EUmwn6j/oLJaoo9epZX0tvJKaQlFA6lp6idqbgcRoGghc2JYbIr/j1Z+Oe6R6Z5mx5kTlkZ0m1Do&#10;w5DYzjtHBnpkTfZpDLGl9J3b4zmKYY9Z9KTQMmV0uM80+YaEsam4fFpchikxSZfr5u2b5j0NQ17e&#10;qpkiAwPG9Am8Zfmj40a7bIBoxfFzTFSWUi8pFOSW5ibKVzoZyMnGfQNFoqjY3E5ZJ9gZZEdBi9D/&#10;KIKIq2RmiNLGLKC6lPwn6JybYVBW7LnAJbtU9C4tQKudx79VTdOlVTXnX1TPWrPsB9+fykiKHbQn&#10;xaXzTudFfBwX+O8/b/sLAAD//wMAUEsDBBQABgAIAAAAIQDr0ZuK2wAAAAcBAAAPAAAAZHJzL2Rv&#10;d25yZXYueG1sTI9BTsMwEEX3SNzBGiQ2Ves0IqEKcSpUiQ0sgMIBnGSaRNjjELupe3sGNnT59L/+&#10;vCm30Rox4+QHRwrWqwQEUuPagToFnx9Pyw0IHzS12jhCBWf0sK2ur0pdtO5E7zjvQyd4hHyhFfQh&#10;jIWUvunRar9yIxJnBzdZHRinTraTPvG4NTJNklxaPRBf6PWIux6br/3RKnh+fVuc05gvvu+zehfn&#10;jYkv3ih1exMfH0AEjOG/DL/6rA4VO9XuSK0Xhjld51xVkGUgOL/LE36l/mNZlfLSv/oBAAD//wMA&#10;UEsBAi0AFAAGAAgAAAAhALaDOJL+AAAA4QEAABMAAAAAAAAAAAAAAAAAAAAAAFtDb250ZW50X1R5&#10;cGVzXS54bWxQSwECLQAUAAYACAAAACEAOP0h/9YAAACUAQAACwAAAAAAAAAAAAAAAAAvAQAAX3Jl&#10;bHMvLnJlbHNQSwECLQAUAAYACAAAACEAundF7b0BAADBAwAADgAAAAAAAAAAAAAAAAAuAgAAZHJz&#10;L2Uyb0RvYy54bWxQSwECLQAUAAYACAAAACEA69GbitsAAAAHAQAADwAAAAAAAAAAAAAAAAAXBAAA&#10;ZHJzL2Rvd25yZXYueG1sUEsFBgAAAAAEAAQA8wAAAB8FAAAAAA==&#10;" strokecolor="black [3040]"/>
                  </w:pict>
                </mc:Fallback>
              </mc:AlternateContent>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softHyphen/>
            </w:r>
            <w:r w:rsidR="00142936" w:rsidRPr="001338E8">
              <w:rPr>
                <w:i/>
                <w:sz w:val="26"/>
                <w:szCs w:val="26"/>
              </w:rPr>
              <w:t xml:space="preserve">Trà Vinh, ngày </w:t>
            </w:r>
            <w:r w:rsidR="007C7015" w:rsidRPr="001338E8">
              <w:rPr>
                <w:i/>
                <w:sz w:val="26"/>
                <w:szCs w:val="26"/>
              </w:rPr>
              <w:t xml:space="preserve">      </w:t>
            </w:r>
            <w:r w:rsidR="00142936" w:rsidRPr="001338E8">
              <w:rPr>
                <w:i/>
                <w:sz w:val="26"/>
                <w:szCs w:val="26"/>
              </w:rPr>
              <w:t xml:space="preserve">tháng </w:t>
            </w:r>
            <w:r w:rsidR="007C7015" w:rsidRPr="001338E8">
              <w:rPr>
                <w:i/>
                <w:sz w:val="26"/>
                <w:szCs w:val="26"/>
              </w:rPr>
              <w:t xml:space="preserve">    </w:t>
            </w:r>
            <w:r w:rsidR="00142936" w:rsidRPr="001338E8">
              <w:rPr>
                <w:i/>
                <w:sz w:val="26"/>
                <w:szCs w:val="26"/>
              </w:rPr>
              <w:t xml:space="preserve"> năm </w:t>
            </w:r>
            <w:r w:rsidR="00711EA5" w:rsidRPr="001338E8">
              <w:rPr>
                <w:i/>
                <w:sz w:val="26"/>
                <w:szCs w:val="26"/>
              </w:rPr>
              <w:t>202</w:t>
            </w:r>
            <w:r w:rsidR="008449B7">
              <w:rPr>
                <w:i/>
                <w:sz w:val="26"/>
                <w:szCs w:val="26"/>
              </w:rPr>
              <w:t>3</w:t>
            </w:r>
          </w:p>
        </w:tc>
      </w:tr>
    </w:tbl>
    <w:p w14:paraId="653A850E" w14:textId="77777777" w:rsidR="0066728A" w:rsidRPr="005020BD" w:rsidRDefault="0066728A" w:rsidP="004664AA">
      <w:pPr>
        <w:spacing w:before="120"/>
        <w:jc w:val="center"/>
        <w:rPr>
          <w:b/>
        </w:rPr>
      </w:pPr>
    </w:p>
    <w:p w14:paraId="110F50F7" w14:textId="77777777" w:rsidR="00142936" w:rsidRPr="001338E8" w:rsidRDefault="00142936" w:rsidP="006F2807">
      <w:pPr>
        <w:jc w:val="center"/>
        <w:rPr>
          <w:b/>
        </w:rPr>
      </w:pPr>
      <w:r w:rsidRPr="001338E8">
        <w:rPr>
          <w:b/>
        </w:rPr>
        <w:t>TỜ TRÌNH</w:t>
      </w:r>
    </w:p>
    <w:p w14:paraId="735B70DF" w14:textId="77777777" w:rsidR="005B0E5E" w:rsidRDefault="0011083B" w:rsidP="005020BD">
      <w:pPr>
        <w:jc w:val="center"/>
        <w:rPr>
          <w:b/>
          <w:szCs w:val="24"/>
        </w:rPr>
      </w:pPr>
      <w:r w:rsidRPr="001338E8">
        <w:rPr>
          <w:b/>
        </w:rPr>
        <w:t xml:space="preserve">Ban hành Nghị quyết </w:t>
      </w:r>
      <w:r w:rsidR="005B0E5E">
        <w:rPr>
          <w:b/>
          <w:bCs/>
          <w:noProof/>
          <w:lang w:eastAsia="ar-SA"/>
        </w:rPr>
        <w:t>về</w:t>
      </w:r>
      <w:r w:rsidR="008449B7" w:rsidRPr="008449B7">
        <w:rPr>
          <w:b/>
          <w:bCs/>
          <w:noProof/>
          <w:lang w:eastAsia="ar-SA"/>
        </w:rPr>
        <w:t xml:space="preserve"> </w:t>
      </w:r>
      <w:r w:rsidR="008449B7" w:rsidRPr="008449B7">
        <w:rPr>
          <w:b/>
          <w:szCs w:val="24"/>
        </w:rPr>
        <w:t xml:space="preserve">mức thu, đơn vị tính phí bảo vệ môi trường </w:t>
      </w:r>
    </w:p>
    <w:p w14:paraId="6BF75D35" w14:textId="1EEE00FF" w:rsidR="007C7015" w:rsidRPr="008449B7" w:rsidRDefault="008449B7" w:rsidP="005B0E5E">
      <w:pPr>
        <w:jc w:val="center"/>
        <w:rPr>
          <w:b/>
          <w:szCs w:val="24"/>
        </w:rPr>
      </w:pPr>
      <w:r w:rsidRPr="008449B7">
        <w:rPr>
          <w:b/>
          <w:szCs w:val="24"/>
        </w:rPr>
        <w:t xml:space="preserve">đối với khai thác khoáng sản </w:t>
      </w:r>
      <w:r w:rsidRPr="008449B7">
        <w:rPr>
          <w:b/>
        </w:rPr>
        <w:t>áp dụng tại</w:t>
      </w:r>
      <w:r w:rsidRPr="008449B7">
        <w:rPr>
          <w:b/>
          <w:szCs w:val="24"/>
        </w:rPr>
        <w:t xml:space="preserve"> tỉnh</w:t>
      </w:r>
      <w:r w:rsidRPr="008449B7">
        <w:rPr>
          <w:b/>
        </w:rPr>
        <w:t xml:space="preserve"> Trà Vinh</w:t>
      </w:r>
      <w:r w:rsidRPr="008449B7">
        <w:rPr>
          <w:b/>
          <w:noProof/>
          <w:lang w:val="vi-VN" w:eastAsia="vi-VN"/>
        </w:rPr>
        <w:t xml:space="preserve"> </w:t>
      </w:r>
    </w:p>
    <w:p w14:paraId="55845784" w14:textId="6C8D32BD" w:rsidR="008449B7" w:rsidRDefault="008449B7" w:rsidP="00490FE9">
      <w:pPr>
        <w:spacing w:before="60" w:after="60"/>
        <w:ind w:firstLine="720"/>
        <w:jc w:val="center"/>
      </w:pPr>
      <w:r w:rsidRPr="001338E8">
        <w:rPr>
          <w:b/>
          <w:noProof/>
        </w:rPr>
        <mc:AlternateContent>
          <mc:Choice Requires="wps">
            <w:drawing>
              <wp:anchor distT="4294967295" distB="4294967295" distL="114300" distR="114300" simplePos="0" relativeHeight="251656192" behindDoc="0" locked="0" layoutInCell="1" allowOverlap="1" wp14:anchorId="2F8A58C6" wp14:editId="7B7C7142">
                <wp:simplePos x="0" y="0"/>
                <wp:positionH relativeFrom="margin">
                  <wp:posOffset>1875155</wp:posOffset>
                </wp:positionH>
                <wp:positionV relativeFrom="paragraph">
                  <wp:posOffset>82550</wp:posOffset>
                </wp:positionV>
                <wp:extent cx="20097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9563159" id="Straight Connector 3"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47.65pt,6.5pt" to="30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K7ywEAAN0DAAAOAAAAZHJzL2Uyb0RvYy54bWysU8Fu1DAQvSP1Hyzfu8m2gkK02R62KpcK&#10;Vixwdx17Y9X2WGOzyf49Y2c3hQISQlys2PPmzXszk9Xt6Cw7KIwGfMuXi5oz5SV0xu9b/uXz/eVb&#10;zmISvhMWvGr5UUV+u754tRpCo66gB9spZETiYzOElvcphaaqouyVE3EBQXkKakAnEl1xX3UoBmJ3&#10;trqq6zfVANgFBKlipNe7KcjXhV9rJdNHraNKzLactKVyYjkf81mtV6LZowi9kScZ4h9UOGE8FZ2p&#10;7kQS7BuaX6ickQgRdFpIcBVobaQqHsjNsn7hZteLoIoXak4Mc5vi/6OVHw5bZKZr+TVnXjga0S6h&#10;MPs+sQ14Tw0EZNe5T0OIDcE3fovZqRz9LjyAfIoUq34K5ksME2zU6Ji2Jnyl9SgtItNsLBM4zhNQ&#10;Y2KSHmmk725uXnMmz7FKNJkiVwwY03sFjuWPllvjc3NEIw4PMWURz5CToklEkZOOVmWw9Z+UJsNU&#10;bJJTVk1tLLKDoCXpnpbZLHEVZE7Rxto5qS4l/5h0wuY0VdbvbxNndKkIPs2JznjA31VN41mqnvBn&#10;15PXbPsRuuMWzwOiHSrOTvuel/THe0l//ivX3wEAAP//AwBQSwMEFAAGAAgAAAAhAJP9SxvdAAAA&#10;CQEAAA8AAABkcnMvZG93bnJldi54bWxMj8FOwzAQRO9I/IO1SFwq6iRVQwlxKlSJCxwohQ9wkiWJ&#10;sNchdlP371nEAY478zQ7U26jNWLGyQ+OFKTLBARS49qBOgXvb483GxA+aGq1cYQKzuhhW11elLpo&#10;3YlecT6ETnAI+UIr6EMYCyl906PVfulGJPY+3GR14HPqZDvpE4dbI7MkyaXVA/GHXo+467H5PByt&#10;gqeX/eKcxXzxdbuud3HemPjsjVLXV/HhHkTAGP5g+KnP1aHiTrU7UuuFUZDdrVeMsrHiTQzkacpb&#10;6l9BVqX8v6D6BgAA//8DAFBLAQItABQABgAIAAAAIQC2gziS/gAAAOEBAAATAAAAAAAAAAAAAAAA&#10;AAAAAABbQ29udGVudF9UeXBlc10ueG1sUEsBAi0AFAAGAAgAAAAhADj9If/WAAAAlAEAAAsAAAAA&#10;AAAAAAAAAAAALwEAAF9yZWxzLy5yZWxzUEsBAi0AFAAGAAgAAAAhAC5isrvLAQAA3QMAAA4AAAAA&#10;AAAAAAAAAAAALgIAAGRycy9lMm9Eb2MueG1sUEsBAi0AFAAGAAgAAAAhAJP9SxvdAAAACQEAAA8A&#10;AAAAAAAAAAAAAAAAJQQAAGRycy9kb3ducmV2LnhtbFBLBQYAAAAABAAEAPMAAAAvBQAAAAA=&#10;" strokecolor="black [3040]">
                <o:lock v:ext="edit" shapetype="f"/>
                <w10:wrap anchorx="margin"/>
              </v:line>
            </w:pict>
          </mc:Fallback>
        </mc:AlternateContent>
      </w:r>
    </w:p>
    <w:p w14:paraId="5494D55B" w14:textId="1ACA1495" w:rsidR="00142936" w:rsidRPr="001338E8" w:rsidRDefault="00490FE9" w:rsidP="00D76AFA">
      <w:pPr>
        <w:spacing w:before="240" w:after="60"/>
        <w:ind w:firstLine="720"/>
        <w:jc w:val="center"/>
      </w:pPr>
      <w:r w:rsidRPr="001338E8">
        <w:t>Kính gửi: Hội đồng nhân dân tỉnh khóa</w:t>
      </w:r>
      <w:r w:rsidR="00401AB9" w:rsidRPr="001338E8">
        <w:t xml:space="preserve"> X,</w:t>
      </w:r>
      <w:r w:rsidRPr="001338E8">
        <w:t xml:space="preserve"> kỳ </w:t>
      </w:r>
      <w:r w:rsidR="004A408C" w:rsidRPr="001338E8">
        <w:t xml:space="preserve">Họp </w:t>
      </w:r>
      <w:r w:rsidRPr="001338E8">
        <w:t xml:space="preserve">thứ </w:t>
      </w:r>
      <w:r w:rsidR="00B21D5D" w:rsidRPr="001338E8">
        <w:t>…</w:t>
      </w:r>
    </w:p>
    <w:p w14:paraId="6CC9F57F" w14:textId="77777777" w:rsidR="00490FE9" w:rsidRPr="004D5811" w:rsidRDefault="00490FE9" w:rsidP="00142936">
      <w:pPr>
        <w:spacing w:before="60" w:after="60"/>
        <w:ind w:firstLine="720"/>
        <w:jc w:val="both"/>
      </w:pPr>
    </w:p>
    <w:p w14:paraId="46BAD5AE" w14:textId="77777777" w:rsidR="008355F1" w:rsidRPr="001338E8" w:rsidRDefault="008355F1" w:rsidP="00F1339B">
      <w:pPr>
        <w:pStyle w:val="NormalWeb"/>
        <w:shd w:val="clear" w:color="auto" w:fill="FFFFFF"/>
        <w:spacing w:before="120" w:after="120"/>
        <w:ind w:firstLine="720"/>
        <w:jc w:val="both"/>
        <w:rPr>
          <w:i/>
          <w:iCs/>
          <w:sz w:val="28"/>
          <w:szCs w:val="28"/>
        </w:rPr>
      </w:pPr>
      <w:r w:rsidRPr="001338E8">
        <w:rPr>
          <w:i/>
          <w:iCs/>
          <w:sz w:val="28"/>
          <w:szCs w:val="28"/>
        </w:rPr>
        <w:t xml:space="preserve">Căn cứ Luật Tổ chức chính quyền địa phương ngày 19 tháng 6 năm 2015; </w:t>
      </w:r>
    </w:p>
    <w:p w14:paraId="08A44C41" w14:textId="77777777" w:rsidR="008355F1" w:rsidRPr="001338E8" w:rsidRDefault="008355F1" w:rsidP="00F1339B">
      <w:pPr>
        <w:pStyle w:val="NormalWeb"/>
        <w:shd w:val="clear" w:color="auto" w:fill="FFFFFF"/>
        <w:spacing w:before="120" w:after="120"/>
        <w:ind w:firstLine="720"/>
        <w:jc w:val="both"/>
        <w:rPr>
          <w:sz w:val="28"/>
          <w:szCs w:val="28"/>
        </w:rPr>
      </w:pPr>
      <w:r w:rsidRPr="001338E8">
        <w:rPr>
          <w:i/>
          <w:iCs/>
          <w:sz w:val="28"/>
          <w:szCs w:val="28"/>
        </w:rPr>
        <w:t>Căn cứ Luật Sửa đổi, bổ sung một số điều của Luật Tổ chức Chính phủ và Luật Tổ chức chính quyền địa phương ngày 22 tháng 11 năm 2019;</w:t>
      </w:r>
    </w:p>
    <w:p w14:paraId="220E1D80" w14:textId="77777777" w:rsidR="008355F1" w:rsidRPr="001338E8" w:rsidRDefault="008355F1" w:rsidP="00F1339B">
      <w:pPr>
        <w:pStyle w:val="NormalWeb"/>
        <w:shd w:val="clear" w:color="auto" w:fill="FFFFFF"/>
        <w:spacing w:before="120" w:after="120"/>
        <w:ind w:firstLine="720"/>
        <w:jc w:val="both"/>
        <w:rPr>
          <w:i/>
          <w:iCs/>
          <w:sz w:val="28"/>
          <w:szCs w:val="28"/>
        </w:rPr>
      </w:pPr>
      <w:r w:rsidRPr="001338E8">
        <w:rPr>
          <w:i/>
          <w:iCs/>
          <w:sz w:val="28"/>
          <w:szCs w:val="28"/>
        </w:rPr>
        <w:t>Căn cứ Luật Ban hành văn bản quy phạm pháp luật ngày 22 tháng 6 năm 2015;</w:t>
      </w:r>
    </w:p>
    <w:p w14:paraId="128E80B5" w14:textId="77777777" w:rsidR="008355F1" w:rsidRPr="001338E8" w:rsidRDefault="008355F1" w:rsidP="00F1339B">
      <w:pPr>
        <w:pStyle w:val="NormalWeb"/>
        <w:shd w:val="clear" w:color="auto" w:fill="FFFFFF"/>
        <w:spacing w:before="120" w:after="120"/>
        <w:ind w:firstLine="720"/>
        <w:jc w:val="both"/>
      </w:pPr>
      <w:r w:rsidRPr="001338E8">
        <w:rPr>
          <w:i/>
          <w:iCs/>
          <w:sz w:val="28"/>
          <w:szCs w:val="28"/>
        </w:rPr>
        <w:t>Căn cứ Luật Sửa đổi, bổ sung một số điều của Luật Ban hành văn bản quy phạm pháp luật ngày 18 tháng 6 năm 2020;</w:t>
      </w:r>
    </w:p>
    <w:p w14:paraId="08014D4B" w14:textId="0F69C3A9" w:rsidR="008449B7" w:rsidRPr="008449B7" w:rsidRDefault="008355F1" w:rsidP="00F1339B">
      <w:pPr>
        <w:spacing w:before="120" w:after="120"/>
        <w:ind w:firstLine="720"/>
        <w:jc w:val="both"/>
        <w:rPr>
          <w:i/>
          <w:iCs/>
        </w:rPr>
      </w:pPr>
      <w:r w:rsidRPr="001338E8">
        <w:rPr>
          <w:i/>
          <w:iCs/>
        </w:rPr>
        <w:t xml:space="preserve">Căn cứ </w:t>
      </w:r>
      <w:r w:rsidR="008449B7" w:rsidRPr="008449B7">
        <w:rPr>
          <w:i/>
        </w:rPr>
        <w:t xml:space="preserve">Nghị định số 27/2023/NĐ-CP </w:t>
      </w:r>
      <w:r w:rsidR="008449B7">
        <w:rPr>
          <w:i/>
        </w:rPr>
        <w:t>n</w:t>
      </w:r>
      <w:r w:rsidR="008449B7" w:rsidRPr="008449B7">
        <w:rPr>
          <w:i/>
        </w:rPr>
        <w:t>gày 31/5/2023, Chính phủ ban hành quy định phí bảo vệ môi trường đối với khai thác khoáng sản</w:t>
      </w:r>
      <w:r w:rsidR="008449B7">
        <w:rPr>
          <w:i/>
        </w:rPr>
        <w:t>.</w:t>
      </w:r>
    </w:p>
    <w:p w14:paraId="60848FF4" w14:textId="27612389" w:rsidR="00021024" w:rsidRPr="001338E8" w:rsidRDefault="00745AC9" w:rsidP="00F1339B">
      <w:pPr>
        <w:spacing w:before="120" w:after="120"/>
        <w:ind w:firstLine="720"/>
        <w:jc w:val="both"/>
        <w:rPr>
          <w:b/>
          <w:bCs/>
          <w:iCs/>
        </w:rPr>
      </w:pPr>
      <w:r>
        <w:rPr>
          <w:b/>
          <w:bCs/>
          <w:iCs/>
        </w:rPr>
        <w:t>1. Tổng quan về Nghị quyết</w:t>
      </w:r>
    </w:p>
    <w:p w14:paraId="21063667" w14:textId="7B28DDFC" w:rsidR="00EB733A" w:rsidRPr="002E7043" w:rsidRDefault="00021024" w:rsidP="00F1339B">
      <w:pPr>
        <w:tabs>
          <w:tab w:val="left" w:pos="720"/>
        </w:tabs>
        <w:spacing w:before="120" w:after="120"/>
        <w:ind w:firstLine="720"/>
        <w:jc w:val="both"/>
        <w:rPr>
          <w:b/>
          <w:i/>
          <w:iCs/>
        </w:rPr>
      </w:pPr>
      <w:r w:rsidRPr="001338E8">
        <w:rPr>
          <w:iCs/>
        </w:rPr>
        <w:t xml:space="preserve">Nghị quyết </w:t>
      </w:r>
      <w:r w:rsidR="002E7043">
        <w:rPr>
          <w:bCs/>
          <w:noProof/>
          <w:lang w:eastAsia="ar-SA"/>
        </w:rPr>
        <w:t>về</w:t>
      </w:r>
      <w:r w:rsidR="002E7043" w:rsidRPr="00D2383B">
        <w:rPr>
          <w:bCs/>
          <w:noProof/>
          <w:lang w:eastAsia="ar-SA"/>
        </w:rPr>
        <w:t xml:space="preserve"> </w:t>
      </w:r>
      <w:r w:rsidR="002E7043" w:rsidRPr="00D2383B">
        <w:t xml:space="preserve">mức thu, đơn vị tính phí bảo vệ môi trường đối với khai thác khoáng sản </w:t>
      </w:r>
      <w:r w:rsidR="002E7043">
        <w:t>áp dụng tại</w:t>
      </w:r>
      <w:r w:rsidR="002E7043" w:rsidRPr="00D2383B">
        <w:t xml:space="preserve"> tỉnh</w:t>
      </w:r>
      <w:r w:rsidR="002E7043">
        <w:t xml:space="preserve"> Trà Vinh</w:t>
      </w:r>
      <w:r w:rsidR="002E7043" w:rsidRPr="001338E8">
        <w:rPr>
          <w:iCs/>
        </w:rPr>
        <w:t xml:space="preserve"> </w:t>
      </w:r>
      <w:r w:rsidR="00EB733A" w:rsidRPr="001338E8">
        <w:rPr>
          <w:iCs/>
        </w:rPr>
        <w:t xml:space="preserve">quy </w:t>
      </w:r>
      <w:r w:rsidR="00EB733A" w:rsidRPr="00F94A56">
        <w:rPr>
          <w:iCs/>
        </w:rPr>
        <w:t xml:space="preserve">định </w:t>
      </w:r>
      <w:r w:rsidRPr="00F94A56">
        <w:rPr>
          <w:bCs/>
          <w:iCs/>
        </w:rPr>
        <w:t>phí</w:t>
      </w:r>
      <w:r w:rsidR="00F94A56">
        <w:rPr>
          <w:iCs/>
        </w:rPr>
        <w:t xml:space="preserve"> đối với 04 loại khoáng sản trên địa bàn tỉnh: </w:t>
      </w:r>
      <w:r w:rsidR="00FD212F" w:rsidRPr="00FD212F">
        <w:rPr>
          <w:i/>
          <w:iCs/>
        </w:rPr>
        <w:t>1)</w:t>
      </w:r>
      <w:r w:rsidR="00FD212F">
        <w:rPr>
          <w:iCs/>
        </w:rPr>
        <w:t xml:space="preserve"> </w:t>
      </w:r>
      <w:r w:rsidR="00F94A56" w:rsidRPr="002E7043">
        <w:rPr>
          <w:b/>
          <w:i/>
          <w:color w:val="000000"/>
        </w:rPr>
        <w:t xml:space="preserve">Đất khai thác để san lấp, xây dựng công trình; </w:t>
      </w:r>
      <w:r w:rsidR="00FD212F">
        <w:rPr>
          <w:b/>
          <w:i/>
          <w:color w:val="000000"/>
        </w:rPr>
        <w:t xml:space="preserve">2) </w:t>
      </w:r>
      <w:r w:rsidR="00F94A56" w:rsidRPr="002E7043">
        <w:rPr>
          <w:b/>
          <w:i/>
          <w:color w:val="000000"/>
        </w:rPr>
        <w:t xml:space="preserve">Đất sét, đất làm gạch, ngói; </w:t>
      </w:r>
      <w:r w:rsidR="00FD212F">
        <w:rPr>
          <w:b/>
          <w:i/>
          <w:color w:val="000000"/>
        </w:rPr>
        <w:t>3) C</w:t>
      </w:r>
      <w:r w:rsidR="00F94A56" w:rsidRPr="002E7043">
        <w:rPr>
          <w:b/>
          <w:i/>
          <w:color w:val="000000"/>
        </w:rPr>
        <w:t>ác loại </w:t>
      </w:r>
      <w:r w:rsidR="00FD212F">
        <w:rPr>
          <w:b/>
          <w:i/>
          <w:color w:val="000000"/>
        </w:rPr>
        <w:t xml:space="preserve">cát khác </w:t>
      </w:r>
      <w:r w:rsidR="00F94A56" w:rsidRPr="002E7043">
        <w:rPr>
          <w:b/>
          <w:i/>
          <w:color w:val="000000"/>
        </w:rPr>
        <w:t xml:space="preserve">(cát san lấp, cát nhiễm mặn); </w:t>
      </w:r>
      <w:r w:rsidR="00FD212F">
        <w:rPr>
          <w:b/>
          <w:i/>
          <w:color w:val="000000"/>
        </w:rPr>
        <w:t xml:space="preserve">4) </w:t>
      </w:r>
      <w:r w:rsidR="00F94A56" w:rsidRPr="002E7043">
        <w:rPr>
          <w:b/>
          <w:i/>
          <w:color w:val="000000"/>
        </w:rPr>
        <w:t>Nước khoáng thiên nhiên.</w:t>
      </w:r>
    </w:p>
    <w:p w14:paraId="128FF262" w14:textId="096EB4B4" w:rsidR="009A07EF" w:rsidRDefault="00021024" w:rsidP="00F1339B">
      <w:pPr>
        <w:spacing w:before="120" w:after="120"/>
        <w:ind w:firstLine="720"/>
        <w:jc w:val="both"/>
      </w:pPr>
      <w:r w:rsidRPr="001338E8">
        <w:rPr>
          <w:b/>
        </w:rPr>
        <w:t>2. S</w:t>
      </w:r>
      <w:r w:rsidR="00745AC9">
        <w:rPr>
          <w:b/>
        </w:rPr>
        <w:t>ự cần thiết ban hành Nghị quyết</w:t>
      </w:r>
    </w:p>
    <w:p w14:paraId="67F958AF" w14:textId="12531D3E" w:rsidR="008449B7" w:rsidRDefault="008449B7" w:rsidP="00F1339B">
      <w:pPr>
        <w:spacing w:before="120" w:after="120"/>
        <w:ind w:firstLine="720"/>
        <w:jc w:val="both"/>
      </w:pPr>
      <w:r>
        <w:t>Ngày 31/5/2023, Chính phủ</w:t>
      </w:r>
      <w:r w:rsidRPr="00AA6E73">
        <w:t xml:space="preserve"> </w:t>
      </w:r>
      <w:r>
        <w:t xml:space="preserve">ban hành Nghị định số 27/2023/NĐ-CP </w:t>
      </w:r>
      <w:r w:rsidRPr="00AA6E73">
        <w:t>quy định phí bảo vệ môi trường đối với khai thác khoáng sản</w:t>
      </w:r>
      <w:r>
        <w:t xml:space="preserve"> có hiệu lực thi hành từ ngày 15/7/2023 và thay thế Nghị định số 164/2016/NĐ-CP; trong đó tại Khoản </w:t>
      </w:r>
      <w:r w:rsidRPr="00BE122F">
        <w:t>4</w:t>
      </w:r>
      <w:r>
        <w:t xml:space="preserve"> Điều 6 Nghị định số 27/2023/NĐ-CP quy định</w:t>
      </w:r>
      <w:r w:rsidRPr="00BE122F">
        <w:t xml:space="preserve"> </w:t>
      </w:r>
      <w:r w:rsidRPr="00A512A0">
        <w:rPr>
          <w:i/>
        </w:rPr>
        <w:t>“</w:t>
      </w:r>
      <w:r w:rsidRPr="00A249A6">
        <w:rPr>
          <w:i/>
        </w:rPr>
        <w:t xml:space="preserve">Căn cứ nguyên tắc xác định mức thu phí quy định tại Luật Phí và lệ phí, Biểu khung mức thu phí ban hành kèm theo Nghị định này và tham khảo mức thu phí của các địa phương có khai thác khoáng sản tương tự thuộc đối tượng chịu phí, Hội đồng nhân dân các tỉnh, thành phố trực thuộc trung ương (sau đây gọi chung là Hội đồng nhân dân cấp tỉnh) quyết định cụ thể mức thu, đơn vị tính phí bảo vệ môi trường đối với từng loại khoáng sản áp dụng tại địa phương phù hợp với tình </w:t>
      </w:r>
      <w:r>
        <w:rPr>
          <w:i/>
        </w:rPr>
        <w:t>hình thực tế trong từng thời kỳ</w:t>
      </w:r>
      <w:r>
        <w:t>”</w:t>
      </w:r>
      <w:r w:rsidRPr="00BE122F">
        <w:t>.</w:t>
      </w:r>
      <w:r>
        <w:t xml:space="preserve"> Do đó, </w:t>
      </w:r>
      <w:r w:rsidR="009A07EF">
        <w:t xml:space="preserve">việc </w:t>
      </w:r>
      <w:r>
        <w:t xml:space="preserve">ban hành Nghị quyết </w:t>
      </w:r>
      <w:r w:rsidRPr="00DD6C9D">
        <w:rPr>
          <w:szCs w:val="24"/>
        </w:rPr>
        <w:t>quy định về phí bảo vệ môi trường đối với khai thác khoáng sản</w:t>
      </w:r>
      <w:r w:rsidR="009A07EF">
        <w:rPr>
          <w:szCs w:val="24"/>
        </w:rPr>
        <w:t xml:space="preserve"> áp dụng tại tỉnh Trà Vinh là cần thiết</w:t>
      </w:r>
      <w:r>
        <w:t>.</w:t>
      </w:r>
    </w:p>
    <w:p w14:paraId="35187A22" w14:textId="071228EC" w:rsidR="00BC5C67" w:rsidRDefault="00BC5C67" w:rsidP="00BC5C67">
      <w:pPr>
        <w:spacing w:before="120" w:after="120"/>
        <w:ind w:firstLine="720"/>
        <w:jc w:val="both"/>
      </w:pPr>
      <w:r w:rsidRPr="004A385A">
        <w:lastRenderedPageBreak/>
        <w:t xml:space="preserve">Dự thảo Nghị quyết Hội đồng nhân dân tỉnh </w:t>
      </w:r>
      <w:r w:rsidRPr="004A385A">
        <w:rPr>
          <w:bCs/>
          <w:lang w:eastAsia="ar-SA"/>
        </w:rPr>
        <w:t xml:space="preserve">về </w:t>
      </w:r>
      <w:r w:rsidRPr="004A385A">
        <w:t>mức thu, đơn vị tính phí bảo vệ môi trường đối với khai thác khoáng sản áp dụng tại tỉnh Trà Vinh</w:t>
      </w:r>
      <w:r>
        <w:t>; đã lấy ý kiến bằng văn bản Sở, Ban ngành và địa phương; tổ chức hội thảo lấy ý kiến Sở, ngành và địa phương và trình Sở Tư pháp thẩm định. Sở Tài nguyên và Môi trường đã tiếp thu ý kiến đóng góp và bổ sung, chỉnh sửa hoàn chỉnh dự thảo hồ sơ Nghị quyết.</w:t>
      </w:r>
    </w:p>
    <w:p w14:paraId="0EAFCEC1" w14:textId="77777777" w:rsidR="00BC5C67" w:rsidRPr="00C31573" w:rsidRDefault="00BC5C67" w:rsidP="00BC5C67">
      <w:pPr>
        <w:spacing w:before="120" w:after="120"/>
        <w:ind w:firstLine="720"/>
        <w:jc w:val="both"/>
      </w:pPr>
      <w:r>
        <w:t xml:space="preserve">Việc ban hành </w:t>
      </w:r>
      <w:r w:rsidRPr="004A385A">
        <w:t xml:space="preserve">Nghị quyết Hội đồng nhân dân tỉnh </w:t>
      </w:r>
      <w:r w:rsidRPr="004A385A">
        <w:rPr>
          <w:bCs/>
          <w:lang w:eastAsia="ar-SA"/>
        </w:rPr>
        <w:t xml:space="preserve">về </w:t>
      </w:r>
      <w:r w:rsidRPr="004A385A">
        <w:t>mức thu, đơn vị tính phí bảo vệ môi trường đối với khai thác khoáng sản áp dụng tại tỉnh Trà Vinh</w:t>
      </w:r>
      <w:r>
        <w:t xml:space="preserve"> theo Nghị định số 27/2023/NĐ-CP của Chính phủ đảm bảo tính </w:t>
      </w:r>
      <w:r w:rsidRPr="00C31573">
        <w:t>hợp hiến, hợp pháp, thống nhất và phù hợp với tình hình kinh tế - xã hội của địa phương.</w:t>
      </w:r>
    </w:p>
    <w:p w14:paraId="4BA1BA70" w14:textId="0B1021DD" w:rsidR="00021024" w:rsidRPr="008449B7" w:rsidRDefault="00021024" w:rsidP="00F1339B">
      <w:pPr>
        <w:spacing w:before="120" w:after="120"/>
        <w:ind w:firstLine="720"/>
        <w:jc w:val="both"/>
      </w:pPr>
      <w:r w:rsidRPr="001338E8">
        <w:rPr>
          <w:iCs/>
        </w:rPr>
        <w:t xml:space="preserve">Ủy ban nhân dân tỉnh kính trình Hội đồng nhân dân tỉnh xem xét ban hành Nghị quyết </w:t>
      </w:r>
      <w:bookmarkStart w:id="0" w:name="_Hlk139004918"/>
      <w:r w:rsidR="008449B7" w:rsidRPr="00D2383B">
        <w:rPr>
          <w:bCs/>
          <w:noProof/>
          <w:lang w:eastAsia="ar-SA"/>
        </w:rPr>
        <w:t xml:space="preserve">Quy định </w:t>
      </w:r>
      <w:r w:rsidR="008449B7" w:rsidRPr="00D2383B">
        <w:rPr>
          <w:szCs w:val="24"/>
        </w:rPr>
        <w:t xml:space="preserve">mức thu, đơn vị tính phí bảo vệ môi trường đối với khai thác khoáng sản </w:t>
      </w:r>
      <w:r w:rsidR="008449B7">
        <w:t>áp dụng tại</w:t>
      </w:r>
      <w:r w:rsidR="008449B7" w:rsidRPr="00D2383B">
        <w:rPr>
          <w:szCs w:val="24"/>
        </w:rPr>
        <w:t xml:space="preserve"> tỉnh</w:t>
      </w:r>
      <w:r w:rsidR="008449B7">
        <w:t xml:space="preserve"> Trà Vinh</w:t>
      </w:r>
      <w:bookmarkEnd w:id="0"/>
      <w:r w:rsidR="008449B7">
        <w:rPr>
          <w:szCs w:val="24"/>
        </w:rPr>
        <w:t xml:space="preserve"> </w:t>
      </w:r>
      <w:r w:rsidRPr="001338E8">
        <w:rPr>
          <w:bCs/>
        </w:rPr>
        <w:t>để</w:t>
      </w:r>
      <w:r w:rsidRPr="001338E8">
        <w:rPr>
          <w:b/>
          <w:lang w:val="pt-BR"/>
        </w:rPr>
        <w:t xml:space="preserve"> </w:t>
      </w:r>
      <w:r w:rsidRPr="001338E8">
        <w:rPr>
          <w:lang w:val="pt-BR"/>
        </w:rPr>
        <w:t xml:space="preserve">đảm bảo kịp thời xử lý thủ tục hành chính trong lĩnh vực tài nguyên và môi trường. </w:t>
      </w:r>
    </w:p>
    <w:p w14:paraId="167A2F22" w14:textId="61CA15FF" w:rsidR="00021024" w:rsidRPr="001338E8" w:rsidRDefault="00021024" w:rsidP="00F1339B">
      <w:pPr>
        <w:spacing w:before="120" w:after="120"/>
        <w:ind w:firstLine="720"/>
        <w:jc w:val="both"/>
        <w:rPr>
          <w:b/>
        </w:rPr>
      </w:pPr>
      <w:r w:rsidRPr="001338E8">
        <w:rPr>
          <w:b/>
        </w:rPr>
        <w:t>3. Về nội dun</w:t>
      </w:r>
      <w:r w:rsidR="00745AC9">
        <w:rPr>
          <w:b/>
        </w:rPr>
        <w:t>g cơ bản của dự t</w:t>
      </w:r>
      <w:bookmarkStart w:id="1" w:name="_GoBack"/>
      <w:bookmarkEnd w:id="1"/>
      <w:r w:rsidR="00745AC9">
        <w:rPr>
          <w:b/>
        </w:rPr>
        <w:t>hảo Nghị quyết</w:t>
      </w:r>
    </w:p>
    <w:p w14:paraId="2C3FF06D" w14:textId="79DAFB8D" w:rsidR="00BC5C67" w:rsidRPr="006F30D0" w:rsidRDefault="00BC5C67" w:rsidP="00BC5C67">
      <w:pPr>
        <w:spacing w:before="120" w:after="120"/>
        <w:ind w:firstLine="720"/>
        <w:jc w:val="both"/>
      </w:pPr>
      <w:r w:rsidRPr="006F30D0">
        <w:t>Nghị quyết gồm có 3 điều</w:t>
      </w:r>
      <w:r w:rsidRPr="006F30D0">
        <w:t>,</w:t>
      </w:r>
      <w:r w:rsidRPr="006F30D0">
        <w:t xml:space="preserve"> </w:t>
      </w:r>
      <w:r w:rsidRPr="006F30D0">
        <w:t>q</w:t>
      </w:r>
      <w:r w:rsidRPr="006F30D0">
        <w:rPr>
          <w:bCs/>
          <w:lang w:eastAsia="ar-SA"/>
        </w:rPr>
        <w:t xml:space="preserve">uy định về </w:t>
      </w:r>
      <w:r w:rsidRPr="006F30D0">
        <w:t>mức thu, đơn vị tính phí bảo vệ môi trường đối với khai thác khoáng sản áp dụng tại tỉnh Trà Vinh.</w:t>
      </w:r>
    </w:p>
    <w:p w14:paraId="41496108" w14:textId="361420D9" w:rsidR="003B640D" w:rsidRDefault="00C759D3" w:rsidP="00F1339B">
      <w:pPr>
        <w:spacing w:before="120" w:after="120"/>
        <w:ind w:firstLine="720"/>
        <w:jc w:val="both"/>
      </w:pPr>
      <w:r w:rsidRPr="001338E8">
        <w:t>Ban hành</w:t>
      </w:r>
      <w:r w:rsidR="008449B7" w:rsidRPr="0014790D">
        <w:rPr>
          <w:bCs/>
          <w:lang w:eastAsia="ar-SA"/>
        </w:rPr>
        <w:t xml:space="preserve"> </w:t>
      </w:r>
      <w:r w:rsidR="008449B7" w:rsidRPr="0014790D">
        <w:t>mức thu, đơn vị tính phí bảo vệ môi trường đối với khai thác khoáng sản</w:t>
      </w:r>
      <w:r w:rsidR="008449B7">
        <w:t xml:space="preserve"> áp dụng tại </w:t>
      </w:r>
      <w:r w:rsidR="008449B7" w:rsidRPr="0014790D">
        <w:t>tỉnh</w:t>
      </w:r>
      <w:r w:rsidR="008449B7">
        <w:t xml:space="preserve"> Trà Vinh</w:t>
      </w:r>
      <w:r w:rsidR="003B640D" w:rsidRPr="001338E8">
        <w:t>; mức thu, quản lý sử dụng tiền phí</w:t>
      </w:r>
      <w:r w:rsidR="00D46544">
        <w:t xml:space="preserve"> </w:t>
      </w:r>
      <w:r w:rsidR="00D46544" w:rsidRPr="0014790D">
        <w:t>bảo vệ môi trường đối với khai thác khoáng sản</w:t>
      </w:r>
      <w:r w:rsidR="003B640D" w:rsidRPr="001338E8">
        <w:t>, cụ thể:</w:t>
      </w:r>
    </w:p>
    <w:p w14:paraId="23905ED9" w14:textId="0BEA3F13" w:rsidR="008449B7" w:rsidRPr="008449B7" w:rsidRDefault="008449B7" w:rsidP="00F1339B">
      <w:pPr>
        <w:shd w:val="clear" w:color="auto" w:fill="FFFFFF"/>
        <w:spacing w:before="120" w:after="120"/>
        <w:ind w:firstLine="720"/>
        <w:jc w:val="both"/>
        <w:rPr>
          <w:i/>
          <w:color w:val="000000"/>
        </w:rPr>
      </w:pPr>
      <w:r w:rsidRPr="008449B7">
        <w:rPr>
          <w:b/>
          <w:bCs/>
          <w:i/>
          <w:color w:val="000000"/>
        </w:rPr>
        <w:t>3.1. Mức thu phí</w:t>
      </w:r>
    </w:p>
    <w:p w14:paraId="749362F3" w14:textId="77777777" w:rsidR="008449B7" w:rsidRDefault="008449B7" w:rsidP="00F1339B">
      <w:pPr>
        <w:shd w:val="clear" w:color="auto" w:fill="FFFFFF"/>
        <w:spacing w:before="120" w:after="120"/>
        <w:ind w:firstLine="720"/>
        <w:jc w:val="both"/>
        <w:rPr>
          <w:color w:val="000000"/>
        </w:rPr>
      </w:pPr>
      <w:r w:rsidRPr="00FE3800">
        <w:rPr>
          <w:color w:val="000000"/>
        </w:rPr>
        <w:t>a) Biểu mức thu phí</w:t>
      </w:r>
    </w:p>
    <w:tbl>
      <w:tblPr>
        <w:tblW w:w="8363" w:type="dxa"/>
        <w:tblCellSpacing w:w="0" w:type="dxa"/>
        <w:tblInd w:w="557" w:type="dxa"/>
        <w:shd w:val="clear" w:color="auto" w:fill="FFFFFF"/>
        <w:tblCellMar>
          <w:left w:w="0" w:type="dxa"/>
          <w:right w:w="0" w:type="dxa"/>
        </w:tblCellMar>
        <w:tblLook w:val="04A0" w:firstRow="1" w:lastRow="0" w:firstColumn="1" w:lastColumn="0" w:noHBand="0" w:noVBand="1"/>
      </w:tblPr>
      <w:tblGrid>
        <w:gridCol w:w="851"/>
        <w:gridCol w:w="3695"/>
        <w:gridCol w:w="1701"/>
        <w:gridCol w:w="2116"/>
      </w:tblGrid>
      <w:tr w:rsidR="008449B7" w:rsidRPr="00FE3800" w14:paraId="434E7687" w14:textId="77777777" w:rsidTr="00EC726F">
        <w:trPr>
          <w:tblCellSpacing w:w="0" w:type="dxa"/>
        </w:trPr>
        <w:tc>
          <w:tcPr>
            <w:tcW w:w="851" w:type="dxa"/>
            <w:tcBorders>
              <w:top w:val="single" w:sz="8" w:space="0" w:color="auto"/>
              <w:left w:val="single" w:sz="8" w:space="0" w:color="auto"/>
              <w:bottom w:val="single" w:sz="8" w:space="0" w:color="auto"/>
              <w:right w:val="single" w:sz="8" w:space="0" w:color="auto"/>
            </w:tcBorders>
            <w:shd w:val="clear" w:color="auto" w:fill="FFFFFF"/>
            <w:hideMark/>
          </w:tcPr>
          <w:p w14:paraId="567AA99F" w14:textId="77777777" w:rsidR="008449B7" w:rsidRPr="00FE3800" w:rsidRDefault="008449B7" w:rsidP="00E763FC">
            <w:pPr>
              <w:spacing w:before="60" w:after="60" w:line="234" w:lineRule="atLeast"/>
              <w:jc w:val="center"/>
              <w:rPr>
                <w:color w:val="000000"/>
              </w:rPr>
            </w:pPr>
            <w:r w:rsidRPr="00FE3800">
              <w:rPr>
                <w:b/>
                <w:bCs/>
                <w:color w:val="000000"/>
              </w:rPr>
              <w:t>Số TT</w:t>
            </w:r>
          </w:p>
        </w:tc>
        <w:tc>
          <w:tcPr>
            <w:tcW w:w="3695" w:type="dxa"/>
            <w:tcBorders>
              <w:top w:val="single" w:sz="8" w:space="0" w:color="auto"/>
              <w:left w:val="nil"/>
              <w:bottom w:val="single" w:sz="8" w:space="0" w:color="auto"/>
              <w:right w:val="single" w:sz="8" w:space="0" w:color="auto"/>
            </w:tcBorders>
            <w:shd w:val="clear" w:color="auto" w:fill="FFFFFF"/>
            <w:hideMark/>
          </w:tcPr>
          <w:p w14:paraId="3ACA11C7" w14:textId="77777777" w:rsidR="008449B7" w:rsidRPr="00FE3800" w:rsidRDefault="008449B7" w:rsidP="00E763FC">
            <w:pPr>
              <w:spacing w:before="60" w:after="60" w:line="234" w:lineRule="atLeast"/>
              <w:jc w:val="center"/>
              <w:rPr>
                <w:color w:val="000000"/>
              </w:rPr>
            </w:pPr>
            <w:r w:rsidRPr="00FE3800">
              <w:rPr>
                <w:b/>
                <w:bCs/>
                <w:color w:val="000000"/>
              </w:rPr>
              <w:t>Loại khoáng sản</w:t>
            </w:r>
          </w:p>
        </w:tc>
        <w:tc>
          <w:tcPr>
            <w:tcW w:w="1701" w:type="dxa"/>
            <w:tcBorders>
              <w:top w:val="single" w:sz="8" w:space="0" w:color="auto"/>
              <w:left w:val="nil"/>
              <w:bottom w:val="single" w:sz="8" w:space="0" w:color="auto"/>
              <w:right w:val="single" w:sz="8" w:space="0" w:color="auto"/>
            </w:tcBorders>
            <w:shd w:val="clear" w:color="auto" w:fill="FFFFFF"/>
            <w:hideMark/>
          </w:tcPr>
          <w:p w14:paraId="7518D109" w14:textId="77777777" w:rsidR="008449B7" w:rsidRPr="00FE3800" w:rsidRDefault="008449B7" w:rsidP="00E763FC">
            <w:pPr>
              <w:spacing w:before="60" w:after="60" w:line="234" w:lineRule="atLeast"/>
              <w:jc w:val="center"/>
              <w:rPr>
                <w:color w:val="000000"/>
              </w:rPr>
            </w:pPr>
            <w:r w:rsidRPr="00FE3800">
              <w:rPr>
                <w:b/>
                <w:bCs/>
                <w:color w:val="000000"/>
              </w:rPr>
              <w:t>Đơn vị tính</w:t>
            </w:r>
          </w:p>
        </w:tc>
        <w:tc>
          <w:tcPr>
            <w:tcW w:w="2116" w:type="dxa"/>
            <w:tcBorders>
              <w:top w:val="single" w:sz="8" w:space="0" w:color="auto"/>
              <w:left w:val="nil"/>
              <w:bottom w:val="single" w:sz="8" w:space="0" w:color="auto"/>
              <w:right w:val="single" w:sz="8" w:space="0" w:color="auto"/>
            </w:tcBorders>
            <w:shd w:val="clear" w:color="auto" w:fill="FFFFFF"/>
            <w:hideMark/>
          </w:tcPr>
          <w:p w14:paraId="54184CFD" w14:textId="77777777" w:rsidR="008449B7" w:rsidRPr="00FE3800" w:rsidRDefault="008449B7" w:rsidP="00E763FC">
            <w:pPr>
              <w:spacing w:before="60" w:after="60" w:line="234" w:lineRule="atLeast"/>
              <w:jc w:val="center"/>
              <w:rPr>
                <w:color w:val="000000"/>
              </w:rPr>
            </w:pPr>
            <w:r w:rsidRPr="00FE3800">
              <w:rPr>
                <w:b/>
                <w:bCs/>
                <w:color w:val="000000"/>
              </w:rPr>
              <w:t>Mức thu (đồng)</w:t>
            </w:r>
          </w:p>
        </w:tc>
      </w:tr>
      <w:tr w:rsidR="009C62F0" w:rsidRPr="00FE3800" w14:paraId="092B0D51" w14:textId="77777777" w:rsidTr="00EC726F">
        <w:trPr>
          <w:tblCellSpacing w:w="0" w:type="dxa"/>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3425F31C" w14:textId="77777777" w:rsidR="009C62F0" w:rsidRPr="00FE3800" w:rsidRDefault="009C62F0" w:rsidP="00E763FC">
            <w:pPr>
              <w:spacing w:before="60" w:after="60" w:line="234" w:lineRule="atLeast"/>
              <w:jc w:val="center"/>
              <w:rPr>
                <w:color w:val="000000"/>
              </w:rPr>
            </w:pPr>
            <w:r w:rsidRPr="00FE3800">
              <w:rPr>
                <w:color w:val="000000"/>
              </w:rPr>
              <w:t>1</w:t>
            </w:r>
          </w:p>
        </w:tc>
        <w:tc>
          <w:tcPr>
            <w:tcW w:w="3695" w:type="dxa"/>
            <w:tcBorders>
              <w:top w:val="nil"/>
              <w:left w:val="nil"/>
              <w:bottom w:val="single" w:sz="8" w:space="0" w:color="auto"/>
              <w:right w:val="single" w:sz="8" w:space="0" w:color="auto"/>
            </w:tcBorders>
            <w:shd w:val="clear" w:color="auto" w:fill="FFFFFF"/>
            <w:vAlign w:val="center"/>
            <w:hideMark/>
          </w:tcPr>
          <w:p w14:paraId="2EEC3963" w14:textId="550C9335" w:rsidR="009C62F0" w:rsidRPr="002C6791" w:rsidRDefault="009C62F0" w:rsidP="00E763FC">
            <w:pPr>
              <w:spacing w:before="60" w:after="60" w:line="234" w:lineRule="atLeast"/>
              <w:ind w:firstLine="130"/>
              <w:jc w:val="both"/>
              <w:rPr>
                <w:color w:val="000000"/>
              </w:rPr>
            </w:pPr>
            <w:r w:rsidRPr="00FE3800">
              <w:rPr>
                <w:color w:val="000000"/>
              </w:rPr>
              <w:t>Đất khai thác để san lấp, xây dựng công trình</w:t>
            </w:r>
          </w:p>
        </w:tc>
        <w:tc>
          <w:tcPr>
            <w:tcW w:w="1701" w:type="dxa"/>
            <w:tcBorders>
              <w:top w:val="nil"/>
              <w:left w:val="nil"/>
              <w:bottom w:val="single" w:sz="8" w:space="0" w:color="auto"/>
              <w:right w:val="single" w:sz="8" w:space="0" w:color="auto"/>
            </w:tcBorders>
            <w:shd w:val="clear" w:color="auto" w:fill="FFFFFF"/>
            <w:vAlign w:val="center"/>
            <w:hideMark/>
          </w:tcPr>
          <w:p w14:paraId="376257FE" w14:textId="77777777" w:rsidR="009C62F0" w:rsidRPr="00FE3800" w:rsidRDefault="009C62F0" w:rsidP="00E763FC">
            <w:pPr>
              <w:spacing w:before="60" w:after="60" w:line="234" w:lineRule="atLeast"/>
              <w:jc w:val="center"/>
              <w:rPr>
                <w:color w:val="000000"/>
              </w:rPr>
            </w:pPr>
            <w:r w:rsidRPr="00FE3800">
              <w:rPr>
                <w:color w:val="000000"/>
              </w:rPr>
              <w:t>m</w:t>
            </w:r>
            <w:r w:rsidRPr="00FE3800">
              <w:rPr>
                <w:color w:val="000000"/>
                <w:vertAlign w:val="superscript"/>
              </w:rPr>
              <w:t>3</w:t>
            </w:r>
          </w:p>
        </w:tc>
        <w:tc>
          <w:tcPr>
            <w:tcW w:w="2116" w:type="dxa"/>
            <w:tcBorders>
              <w:top w:val="nil"/>
              <w:left w:val="nil"/>
              <w:bottom w:val="single" w:sz="8" w:space="0" w:color="auto"/>
              <w:right w:val="single" w:sz="8" w:space="0" w:color="auto"/>
            </w:tcBorders>
            <w:shd w:val="clear" w:color="auto" w:fill="FFFFFF"/>
            <w:vAlign w:val="center"/>
            <w:hideMark/>
          </w:tcPr>
          <w:p w14:paraId="52D67A9F" w14:textId="77777777" w:rsidR="009C62F0" w:rsidRPr="00FE3800" w:rsidRDefault="009C62F0" w:rsidP="00E763FC">
            <w:pPr>
              <w:spacing w:before="60" w:after="60" w:line="234" w:lineRule="atLeast"/>
              <w:jc w:val="center"/>
              <w:rPr>
                <w:color w:val="000000"/>
              </w:rPr>
            </w:pPr>
            <w:r>
              <w:rPr>
                <w:color w:val="000000"/>
              </w:rPr>
              <w:t>2</w:t>
            </w:r>
            <w:r w:rsidRPr="00FE3800">
              <w:rPr>
                <w:color w:val="000000"/>
              </w:rPr>
              <w:t>.</w:t>
            </w:r>
            <w:r>
              <w:rPr>
                <w:color w:val="000000"/>
              </w:rPr>
              <w:t>0</w:t>
            </w:r>
            <w:r w:rsidRPr="00FE3800">
              <w:rPr>
                <w:color w:val="000000"/>
              </w:rPr>
              <w:t>00</w:t>
            </w:r>
          </w:p>
        </w:tc>
      </w:tr>
      <w:tr w:rsidR="009C62F0" w:rsidRPr="00FE3800" w14:paraId="03A58275" w14:textId="77777777" w:rsidTr="00EC726F">
        <w:trPr>
          <w:tblCellSpacing w:w="0" w:type="dxa"/>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53AA90F3" w14:textId="77777777" w:rsidR="009C62F0" w:rsidRPr="00FE3800" w:rsidRDefault="009C62F0" w:rsidP="00E763FC">
            <w:pPr>
              <w:spacing w:before="60" w:after="60" w:line="234" w:lineRule="atLeast"/>
              <w:jc w:val="center"/>
              <w:rPr>
                <w:color w:val="000000"/>
              </w:rPr>
            </w:pPr>
            <w:r w:rsidRPr="00FE3800">
              <w:rPr>
                <w:color w:val="000000"/>
              </w:rPr>
              <w:t>2</w:t>
            </w:r>
          </w:p>
        </w:tc>
        <w:tc>
          <w:tcPr>
            <w:tcW w:w="3695" w:type="dxa"/>
            <w:tcBorders>
              <w:top w:val="nil"/>
              <w:left w:val="nil"/>
              <w:bottom w:val="single" w:sz="8" w:space="0" w:color="auto"/>
              <w:right w:val="single" w:sz="8" w:space="0" w:color="auto"/>
            </w:tcBorders>
            <w:shd w:val="clear" w:color="auto" w:fill="FFFFFF"/>
            <w:vAlign w:val="center"/>
            <w:hideMark/>
          </w:tcPr>
          <w:p w14:paraId="5187A0C7" w14:textId="47E0E974" w:rsidR="009C62F0" w:rsidRPr="00FE3800" w:rsidRDefault="009C62F0" w:rsidP="00E763FC">
            <w:pPr>
              <w:spacing w:before="60" w:after="60" w:line="234" w:lineRule="atLeast"/>
              <w:ind w:firstLine="130"/>
              <w:jc w:val="both"/>
              <w:rPr>
                <w:color w:val="000000"/>
              </w:rPr>
            </w:pPr>
            <w:r w:rsidRPr="00FE3800">
              <w:rPr>
                <w:color w:val="000000"/>
              </w:rPr>
              <w:t>Đất sét, đất làm gạch, ngói</w:t>
            </w:r>
          </w:p>
        </w:tc>
        <w:tc>
          <w:tcPr>
            <w:tcW w:w="1701" w:type="dxa"/>
            <w:tcBorders>
              <w:top w:val="nil"/>
              <w:left w:val="nil"/>
              <w:bottom w:val="single" w:sz="8" w:space="0" w:color="auto"/>
              <w:right w:val="single" w:sz="8" w:space="0" w:color="auto"/>
            </w:tcBorders>
            <w:shd w:val="clear" w:color="auto" w:fill="FFFFFF"/>
            <w:vAlign w:val="center"/>
            <w:hideMark/>
          </w:tcPr>
          <w:p w14:paraId="5B2FDEB6" w14:textId="77777777" w:rsidR="009C62F0" w:rsidRPr="00FE3800" w:rsidRDefault="009C62F0" w:rsidP="00E763FC">
            <w:pPr>
              <w:spacing w:before="60" w:after="60" w:line="234" w:lineRule="atLeast"/>
              <w:jc w:val="center"/>
              <w:rPr>
                <w:color w:val="000000"/>
              </w:rPr>
            </w:pPr>
            <w:r w:rsidRPr="00FE3800">
              <w:rPr>
                <w:color w:val="000000"/>
              </w:rPr>
              <w:t>m</w:t>
            </w:r>
            <w:r w:rsidRPr="00FE3800">
              <w:rPr>
                <w:color w:val="000000"/>
                <w:vertAlign w:val="superscript"/>
              </w:rPr>
              <w:t>3</w:t>
            </w:r>
          </w:p>
        </w:tc>
        <w:tc>
          <w:tcPr>
            <w:tcW w:w="2116" w:type="dxa"/>
            <w:tcBorders>
              <w:top w:val="nil"/>
              <w:left w:val="nil"/>
              <w:bottom w:val="single" w:sz="8" w:space="0" w:color="auto"/>
              <w:right w:val="single" w:sz="8" w:space="0" w:color="auto"/>
            </w:tcBorders>
            <w:shd w:val="clear" w:color="auto" w:fill="FFFFFF"/>
            <w:vAlign w:val="center"/>
            <w:hideMark/>
          </w:tcPr>
          <w:p w14:paraId="567FE5F3" w14:textId="77777777" w:rsidR="009C62F0" w:rsidRPr="00FE3800" w:rsidRDefault="009C62F0" w:rsidP="00E763FC">
            <w:pPr>
              <w:spacing w:before="60" w:after="60" w:line="234" w:lineRule="atLeast"/>
              <w:jc w:val="center"/>
              <w:rPr>
                <w:color w:val="000000"/>
              </w:rPr>
            </w:pPr>
            <w:r w:rsidRPr="00FE3800">
              <w:rPr>
                <w:color w:val="000000"/>
              </w:rPr>
              <w:t>2.</w:t>
            </w:r>
            <w:r>
              <w:rPr>
                <w:color w:val="000000"/>
              </w:rPr>
              <w:t>5</w:t>
            </w:r>
            <w:r w:rsidRPr="00FE3800">
              <w:rPr>
                <w:color w:val="000000"/>
              </w:rPr>
              <w:t>00</w:t>
            </w:r>
          </w:p>
        </w:tc>
      </w:tr>
      <w:tr w:rsidR="009C62F0" w:rsidRPr="00FE3800" w14:paraId="3D5338E3" w14:textId="77777777" w:rsidTr="00EC726F">
        <w:trPr>
          <w:tblCellSpacing w:w="0" w:type="dxa"/>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7F8A7A8C" w14:textId="77777777" w:rsidR="009C62F0" w:rsidRPr="00FE3800" w:rsidRDefault="009C62F0" w:rsidP="00E763FC">
            <w:pPr>
              <w:spacing w:before="60" w:after="60" w:line="234" w:lineRule="atLeast"/>
              <w:jc w:val="center"/>
              <w:rPr>
                <w:color w:val="000000"/>
              </w:rPr>
            </w:pPr>
            <w:r w:rsidRPr="00FE3800">
              <w:rPr>
                <w:color w:val="000000"/>
              </w:rPr>
              <w:t>3</w:t>
            </w:r>
          </w:p>
        </w:tc>
        <w:tc>
          <w:tcPr>
            <w:tcW w:w="3695" w:type="dxa"/>
            <w:tcBorders>
              <w:top w:val="nil"/>
              <w:left w:val="nil"/>
              <w:bottom w:val="single" w:sz="8" w:space="0" w:color="auto"/>
              <w:right w:val="single" w:sz="8" w:space="0" w:color="auto"/>
            </w:tcBorders>
            <w:shd w:val="clear" w:color="auto" w:fill="FFFFFF"/>
            <w:vAlign w:val="center"/>
            <w:hideMark/>
          </w:tcPr>
          <w:p w14:paraId="7E8C47F7" w14:textId="4668F963" w:rsidR="009C62F0" w:rsidRPr="00FE3800" w:rsidRDefault="009C62F0" w:rsidP="00E763FC">
            <w:pPr>
              <w:spacing w:before="60" w:after="60" w:line="234" w:lineRule="atLeast"/>
              <w:ind w:firstLine="130"/>
              <w:jc w:val="both"/>
              <w:rPr>
                <w:color w:val="000000"/>
              </w:rPr>
            </w:pPr>
            <w:r>
              <w:rPr>
                <w:color w:val="000000"/>
              </w:rPr>
              <w:t>C</w:t>
            </w:r>
            <w:r w:rsidRPr="00FE3800">
              <w:rPr>
                <w:color w:val="000000"/>
              </w:rPr>
              <w:t>ác loại </w:t>
            </w:r>
            <w:r>
              <w:rPr>
                <w:color w:val="000000"/>
              </w:rPr>
              <w:t>c</w:t>
            </w:r>
            <w:r w:rsidRPr="00FE3800">
              <w:rPr>
                <w:color w:val="000000"/>
              </w:rPr>
              <w:t xml:space="preserve">át </w:t>
            </w:r>
            <w:r>
              <w:rPr>
                <w:color w:val="000000"/>
              </w:rPr>
              <w:t>khác (Cát san lấp, cát nhiễm mặn)</w:t>
            </w:r>
          </w:p>
        </w:tc>
        <w:tc>
          <w:tcPr>
            <w:tcW w:w="1701" w:type="dxa"/>
            <w:tcBorders>
              <w:top w:val="nil"/>
              <w:left w:val="nil"/>
              <w:bottom w:val="single" w:sz="8" w:space="0" w:color="auto"/>
              <w:right w:val="single" w:sz="8" w:space="0" w:color="auto"/>
            </w:tcBorders>
            <w:shd w:val="clear" w:color="auto" w:fill="FFFFFF"/>
            <w:vAlign w:val="center"/>
            <w:hideMark/>
          </w:tcPr>
          <w:p w14:paraId="66B1B95A" w14:textId="77777777" w:rsidR="009C62F0" w:rsidRPr="00FE3800" w:rsidRDefault="009C62F0" w:rsidP="00E763FC">
            <w:pPr>
              <w:spacing w:before="60" w:after="60" w:line="234" w:lineRule="atLeast"/>
              <w:jc w:val="center"/>
              <w:rPr>
                <w:color w:val="000000"/>
              </w:rPr>
            </w:pPr>
            <w:r w:rsidRPr="00FE3800">
              <w:rPr>
                <w:color w:val="000000"/>
              </w:rPr>
              <w:t>m</w:t>
            </w:r>
            <w:r w:rsidRPr="00FE3800">
              <w:rPr>
                <w:color w:val="000000"/>
                <w:vertAlign w:val="superscript"/>
              </w:rPr>
              <w:t>3</w:t>
            </w:r>
          </w:p>
        </w:tc>
        <w:tc>
          <w:tcPr>
            <w:tcW w:w="2116" w:type="dxa"/>
            <w:tcBorders>
              <w:top w:val="nil"/>
              <w:left w:val="nil"/>
              <w:bottom w:val="single" w:sz="8" w:space="0" w:color="auto"/>
              <w:right w:val="single" w:sz="8" w:space="0" w:color="auto"/>
            </w:tcBorders>
            <w:shd w:val="clear" w:color="auto" w:fill="FFFFFF"/>
            <w:vAlign w:val="center"/>
            <w:hideMark/>
          </w:tcPr>
          <w:p w14:paraId="4B209DD1" w14:textId="77777777" w:rsidR="009C62F0" w:rsidRPr="00FE3800" w:rsidRDefault="009C62F0" w:rsidP="00E763FC">
            <w:pPr>
              <w:spacing w:before="60" w:after="60" w:line="234" w:lineRule="atLeast"/>
              <w:jc w:val="center"/>
              <w:rPr>
                <w:color w:val="000000"/>
              </w:rPr>
            </w:pPr>
            <w:r w:rsidRPr="00FE3800">
              <w:rPr>
                <w:color w:val="000000"/>
              </w:rPr>
              <w:t>4.</w:t>
            </w:r>
            <w:r>
              <w:rPr>
                <w:color w:val="000000"/>
              </w:rPr>
              <w:t>5</w:t>
            </w:r>
            <w:r w:rsidRPr="00FE3800">
              <w:rPr>
                <w:color w:val="000000"/>
              </w:rPr>
              <w:t>00</w:t>
            </w:r>
          </w:p>
        </w:tc>
      </w:tr>
      <w:tr w:rsidR="009C62F0" w:rsidRPr="00FE3800" w14:paraId="6D541E76" w14:textId="77777777" w:rsidTr="00EC726F">
        <w:trPr>
          <w:tblCellSpacing w:w="0" w:type="dxa"/>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3CBA2DC3" w14:textId="77777777" w:rsidR="009C62F0" w:rsidRPr="00FE3800" w:rsidRDefault="009C62F0" w:rsidP="00E763FC">
            <w:pPr>
              <w:spacing w:before="60" w:after="60" w:line="234" w:lineRule="atLeast"/>
              <w:jc w:val="center"/>
              <w:rPr>
                <w:color w:val="000000"/>
              </w:rPr>
            </w:pPr>
            <w:r w:rsidRPr="00FE3800">
              <w:rPr>
                <w:color w:val="000000"/>
              </w:rPr>
              <w:t>4</w:t>
            </w:r>
          </w:p>
        </w:tc>
        <w:tc>
          <w:tcPr>
            <w:tcW w:w="3695" w:type="dxa"/>
            <w:tcBorders>
              <w:top w:val="nil"/>
              <w:left w:val="nil"/>
              <w:bottom w:val="single" w:sz="8" w:space="0" w:color="auto"/>
              <w:right w:val="single" w:sz="8" w:space="0" w:color="auto"/>
            </w:tcBorders>
            <w:shd w:val="clear" w:color="auto" w:fill="FFFFFF"/>
            <w:vAlign w:val="center"/>
            <w:hideMark/>
          </w:tcPr>
          <w:p w14:paraId="4D7A6EC0" w14:textId="205ABA2A" w:rsidR="009C62F0" w:rsidRPr="00FE3800" w:rsidRDefault="009C62F0" w:rsidP="00E763FC">
            <w:pPr>
              <w:spacing w:before="60" w:after="60" w:line="234" w:lineRule="atLeast"/>
              <w:ind w:firstLine="130"/>
              <w:jc w:val="both"/>
              <w:rPr>
                <w:color w:val="000000"/>
              </w:rPr>
            </w:pPr>
            <w:r w:rsidRPr="00FE3800">
              <w:rPr>
                <w:color w:val="000000"/>
              </w:rPr>
              <w:t>Nước khoáng thiên nhiên</w:t>
            </w:r>
          </w:p>
        </w:tc>
        <w:tc>
          <w:tcPr>
            <w:tcW w:w="1701" w:type="dxa"/>
            <w:tcBorders>
              <w:top w:val="nil"/>
              <w:left w:val="nil"/>
              <w:bottom w:val="single" w:sz="8" w:space="0" w:color="auto"/>
              <w:right w:val="single" w:sz="8" w:space="0" w:color="auto"/>
            </w:tcBorders>
            <w:shd w:val="clear" w:color="auto" w:fill="FFFFFF"/>
            <w:vAlign w:val="center"/>
            <w:hideMark/>
          </w:tcPr>
          <w:p w14:paraId="6CF79E94" w14:textId="77777777" w:rsidR="009C62F0" w:rsidRPr="00FE3800" w:rsidRDefault="009C62F0" w:rsidP="00E763FC">
            <w:pPr>
              <w:spacing w:before="60" w:after="60" w:line="234" w:lineRule="atLeast"/>
              <w:jc w:val="center"/>
              <w:rPr>
                <w:color w:val="000000"/>
              </w:rPr>
            </w:pPr>
            <w:r w:rsidRPr="00FE3800">
              <w:rPr>
                <w:color w:val="000000"/>
              </w:rPr>
              <w:t>m</w:t>
            </w:r>
            <w:r w:rsidRPr="00FE3800">
              <w:rPr>
                <w:color w:val="000000"/>
                <w:vertAlign w:val="superscript"/>
              </w:rPr>
              <w:t>3</w:t>
            </w:r>
          </w:p>
        </w:tc>
        <w:tc>
          <w:tcPr>
            <w:tcW w:w="2116" w:type="dxa"/>
            <w:tcBorders>
              <w:top w:val="nil"/>
              <w:left w:val="nil"/>
              <w:bottom w:val="single" w:sz="8" w:space="0" w:color="auto"/>
              <w:right w:val="single" w:sz="8" w:space="0" w:color="auto"/>
            </w:tcBorders>
            <w:shd w:val="clear" w:color="auto" w:fill="FFFFFF"/>
            <w:vAlign w:val="center"/>
            <w:hideMark/>
          </w:tcPr>
          <w:p w14:paraId="728B8401" w14:textId="77777777" w:rsidR="009C62F0" w:rsidRPr="00FE3800" w:rsidRDefault="009C62F0" w:rsidP="00E763FC">
            <w:pPr>
              <w:spacing w:before="60" w:after="60" w:line="234" w:lineRule="atLeast"/>
              <w:jc w:val="center"/>
              <w:rPr>
                <w:color w:val="000000"/>
              </w:rPr>
            </w:pPr>
            <w:r>
              <w:rPr>
                <w:color w:val="000000"/>
              </w:rPr>
              <w:t>3</w:t>
            </w:r>
            <w:r w:rsidRPr="00FE3800">
              <w:rPr>
                <w:color w:val="000000"/>
              </w:rPr>
              <w:t>.</w:t>
            </w:r>
            <w:r>
              <w:rPr>
                <w:color w:val="000000"/>
              </w:rPr>
              <w:t>0</w:t>
            </w:r>
            <w:r w:rsidRPr="00FE3800">
              <w:rPr>
                <w:color w:val="000000"/>
              </w:rPr>
              <w:t>00</w:t>
            </w:r>
          </w:p>
        </w:tc>
      </w:tr>
    </w:tbl>
    <w:p w14:paraId="2E123C62" w14:textId="77777777" w:rsidR="008449B7" w:rsidRPr="0014790D" w:rsidRDefault="008449B7" w:rsidP="00E763FC">
      <w:pPr>
        <w:shd w:val="clear" w:color="auto" w:fill="FFFFFF"/>
        <w:spacing w:before="120" w:after="120"/>
        <w:ind w:firstLine="720"/>
        <w:jc w:val="both"/>
      </w:pPr>
      <w:r w:rsidRPr="0014790D">
        <w:t xml:space="preserve">b) Mức phí bảo vệ môi trường đối với </w:t>
      </w:r>
      <w:r>
        <w:t xml:space="preserve">hoạt động </w:t>
      </w:r>
      <w:r w:rsidRPr="0014790D">
        <w:t>khai thác</w:t>
      </w:r>
      <w:r>
        <w:t xml:space="preserve"> tận thu</w:t>
      </w:r>
      <w:r w:rsidRPr="0014790D">
        <w:t xml:space="preserve"> khoáng sản </w:t>
      </w:r>
      <w:r>
        <w:t xml:space="preserve">theo quy định của pháp luật khoáng sản </w:t>
      </w:r>
      <w:r w:rsidRPr="0014790D">
        <w:t>bằng 60% mức thu phí của loại khoáng sản tương ứng quy định tại Biểu mức thu phí quy định tại Điểm a Khoản 2 Điều này.</w:t>
      </w:r>
    </w:p>
    <w:p w14:paraId="4EB39602" w14:textId="4E57C787" w:rsidR="008449B7" w:rsidRPr="008449B7" w:rsidRDefault="008449B7" w:rsidP="00E763FC">
      <w:pPr>
        <w:shd w:val="clear" w:color="auto" w:fill="FFFFFF"/>
        <w:spacing w:before="120" w:after="120"/>
        <w:ind w:firstLine="720"/>
        <w:jc w:val="both"/>
        <w:rPr>
          <w:i/>
        </w:rPr>
      </w:pPr>
      <w:r w:rsidRPr="008449B7">
        <w:rPr>
          <w:b/>
          <w:bCs/>
          <w:i/>
        </w:rPr>
        <w:t>3.2. Quản lý sử dụng phí bảo vệ môi trường đối với khai thác khoáng sản</w:t>
      </w:r>
    </w:p>
    <w:p w14:paraId="5A8EB3C6" w14:textId="77777777" w:rsidR="008449B7" w:rsidRPr="0014790D" w:rsidRDefault="008449B7" w:rsidP="00E763FC">
      <w:pPr>
        <w:shd w:val="clear" w:color="auto" w:fill="FFFFFF"/>
        <w:spacing w:before="120" w:after="120"/>
        <w:ind w:firstLine="720"/>
        <w:jc w:val="both"/>
      </w:pPr>
      <w:r w:rsidRPr="0014790D">
        <w:t>Nguồn thu phí bảo vệ môi trường đối với khai thác khoáng sản nộp 100% vào ngân sách nhà nước để hỗ trợ cho công tác bảo vệ và đầu tư cho môi trường tại địa phương theo Luật Bảo vệ môi trường và Luật Ngân sách nhà nước.</w:t>
      </w:r>
    </w:p>
    <w:p w14:paraId="729C58F9" w14:textId="77777777" w:rsidR="006F30AA" w:rsidRPr="001338E8" w:rsidRDefault="00C756EB" w:rsidP="00E763FC">
      <w:pPr>
        <w:spacing w:before="120" w:after="120"/>
        <w:ind w:firstLine="720"/>
        <w:jc w:val="both"/>
        <w:rPr>
          <w:lang w:val="nl-NL"/>
        </w:rPr>
      </w:pPr>
      <w:r w:rsidRPr="001338E8">
        <w:rPr>
          <w:b/>
          <w:bCs/>
          <w:lang w:val="nl-NL"/>
        </w:rPr>
        <w:t>*</w:t>
      </w:r>
      <w:r w:rsidR="008A5CD3" w:rsidRPr="001338E8">
        <w:rPr>
          <w:b/>
          <w:bCs/>
          <w:lang w:val="nl-NL"/>
        </w:rPr>
        <w:t xml:space="preserve"> </w:t>
      </w:r>
      <w:r w:rsidR="006F30AA" w:rsidRPr="001338E8">
        <w:rPr>
          <w:b/>
          <w:bCs/>
          <w:lang w:val="nl-NL"/>
        </w:rPr>
        <w:t>Hồ sơ trình HĐND tỉnh gồm</w:t>
      </w:r>
    </w:p>
    <w:p w14:paraId="730E47FC" w14:textId="05110B52" w:rsidR="00CC6923" w:rsidRDefault="00CC6923" w:rsidP="00E763FC">
      <w:pPr>
        <w:spacing w:before="120" w:after="120"/>
        <w:ind w:firstLine="720"/>
        <w:jc w:val="both"/>
        <w:rPr>
          <w:noProof/>
        </w:rPr>
      </w:pPr>
      <w:r w:rsidRPr="001338E8">
        <w:t xml:space="preserve">- </w:t>
      </w:r>
      <w:r w:rsidR="00856EF5" w:rsidRPr="001338E8">
        <w:t>Dự thảo Nghị quyết</w:t>
      </w:r>
      <w:r w:rsidR="00745AC9">
        <w:rPr>
          <w:bCs/>
        </w:rPr>
        <w:t>;</w:t>
      </w:r>
    </w:p>
    <w:p w14:paraId="05EC7C9F" w14:textId="77777777" w:rsidR="00781B5E" w:rsidRPr="001338E8" w:rsidRDefault="00CB647D" w:rsidP="00E763FC">
      <w:pPr>
        <w:pStyle w:val="Textbody"/>
        <w:spacing w:before="120"/>
        <w:ind w:firstLine="720"/>
        <w:jc w:val="both"/>
        <w:rPr>
          <w:sz w:val="28"/>
        </w:rPr>
      </w:pPr>
      <w:r w:rsidRPr="001338E8">
        <w:rPr>
          <w:sz w:val="28"/>
        </w:rPr>
        <w:t xml:space="preserve">- </w:t>
      </w:r>
      <w:r w:rsidR="006F30AA" w:rsidRPr="001338E8">
        <w:rPr>
          <w:sz w:val="28"/>
          <w:lang w:val="id-ID"/>
        </w:rPr>
        <w:t xml:space="preserve">Báo cáo thẩm </w:t>
      </w:r>
      <w:r w:rsidR="004664AA" w:rsidRPr="001338E8">
        <w:rPr>
          <w:sz w:val="28"/>
        </w:rPr>
        <w:t>định của Sở Tư pháp</w:t>
      </w:r>
      <w:r w:rsidR="00781B5E" w:rsidRPr="001338E8">
        <w:rPr>
          <w:sz w:val="28"/>
        </w:rPr>
        <w:t>;</w:t>
      </w:r>
    </w:p>
    <w:p w14:paraId="5C758CCB" w14:textId="2F973A90" w:rsidR="006F30AA" w:rsidRPr="001338E8" w:rsidRDefault="00781B5E" w:rsidP="00E763FC">
      <w:pPr>
        <w:pStyle w:val="Textbody"/>
        <w:spacing w:before="120"/>
        <w:ind w:firstLine="720"/>
        <w:jc w:val="both"/>
        <w:rPr>
          <w:sz w:val="28"/>
        </w:rPr>
      </w:pPr>
      <w:r w:rsidRPr="001338E8">
        <w:rPr>
          <w:sz w:val="28"/>
        </w:rPr>
        <w:lastRenderedPageBreak/>
        <w:t>- Báo cáo tiếp thu giải trình ý kiến đóng góp của</w:t>
      </w:r>
      <w:r w:rsidR="00457927" w:rsidRPr="001338E8">
        <w:rPr>
          <w:sz w:val="28"/>
        </w:rPr>
        <w:t xml:space="preserve"> các</w:t>
      </w:r>
      <w:r w:rsidRPr="001338E8">
        <w:rPr>
          <w:sz w:val="28"/>
        </w:rPr>
        <w:t xml:space="preserve"> </w:t>
      </w:r>
      <w:r w:rsidR="00457927" w:rsidRPr="001338E8">
        <w:rPr>
          <w:sz w:val="28"/>
        </w:rPr>
        <w:t>S</w:t>
      </w:r>
      <w:r w:rsidRPr="001338E8">
        <w:rPr>
          <w:sz w:val="28"/>
        </w:rPr>
        <w:t>ở, ngành</w:t>
      </w:r>
      <w:r w:rsidR="00457927" w:rsidRPr="001338E8">
        <w:rPr>
          <w:sz w:val="28"/>
        </w:rPr>
        <w:t xml:space="preserve"> tỉnh và</w:t>
      </w:r>
      <w:r w:rsidRPr="001338E8">
        <w:rPr>
          <w:sz w:val="28"/>
        </w:rPr>
        <w:t xml:space="preserve"> UBND </w:t>
      </w:r>
      <w:r w:rsidR="00862234" w:rsidRPr="001338E8">
        <w:rPr>
          <w:sz w:val="28"/>
        </w:rPr>
        <w:t>các huyện, thị xã, thành phố</w:t>
      </w:r>
      <w:r w:rsidR="00745AC9">
        <w:rPr>
          <w:sz w:val="28"/>
        </w:rPr>
        <w:t>;</w:t>
      </w:r>
    </w:p>
    <w:p w14:paraId="24A727F5" w14:textId="577B8B9C" w:rsidR="00B043AE" w:rsidRPr="001338E8" w:rsidRDefault="00B043AE" w:rsidP="00E763FC">
      <w:pPr>
        <w:pStyle w:val="Textbody"/>
        <w:spacing w:before="120"/>
        <w:ind w:firstLine="720"/>
        <w:jc w:val="both"/>
        <w:rPr>
          <w:sz w:val="28"/>
        </w:rPr>
      </w:pPr>
      <w:r w:rsidRPr="001338E8">
        <w:rPr>
          <w:sz w:val="28"/>
        </w:rPr>
        <w:t>- Báo cáo tiếp thu ý kiến thẩm định của Sở Tư pháp</w:t>
      </w:r>
      <w:r w:rsidR="00A33FE2" w:rsidRPr="001338E8">
        <w:rPr>
          <w:sz w:val="28"/>
        </w:rPr>
        <w:t>.</w:t>
      </w:r>
    </w:p>
    <w:p w14:paraId="3BB49E2C" w14:textId="77777777" w:rsidR="00781B5E" w:rsidRPr="001338E8" w:rsidRDefault="00DF0344" w:rsidP="00E763FC">
      <w:pPr>
        <w:spacing w:before="120" w:after="120"/>
        <w:ind w:firstLine="720"/>
        <w:jc w:val="both"/>
        <w:rPr>
          <w:b/>
        </w:rPr>
      </w:pPr>
      <w:r w:rsidRPr="001338E8">
        <w:rPr>
          <w:lang w:val="nl-NL"/>
        </w:rPr>
        <w:t xml:space="preserve">Ủy ban nhân dân </w:t>
      </w:r>
      <w:r w:rsidR="00304D3C" w:rsidRPr="001338E8">
        <w:rPr>
          <w:lang w:val="nl-NL"/>
        </w:rPr>
        <w:t xml:space="preserve">tỉnh </w:t>
      </w:r>
      <w:r w:rsidRPr="001338E8">
        <w:rPr>
          <w:lang w:val="nl-NL"/>
        </w:rPr>
        <w:t xml:space="preserve">kính </w:t>
      </w:r>
      <w:r w:rsidR="00304D3C" w:rsidRPr="001338E8">
        <w:rPr>
          <w:lang w:val="nl-NL"/>
        </w:rPr>
        <w:t xml:space="preserve">trình Hội đồng nhân dân tỉnh </w:t>
      </w:r>
      <w:r w:rsidRPr="001338E8">
        <w:rPr>
          <w:lang w:val="nl-NL"/>
        </w:rPr>
        <w:t>xem xét</w:t>
      </w:r>
      <w:r w:rsidR="00781B5E" w:rsidRPr="001338E8">
        <w:t>./.</w:t>
      </w:r>
    </w:p>
    <w:p w14:paraId="1B24D25B" w14:textId="77777777" w:rsidR="00781B5E" w:rsidRPr="001338E8" w:rsidRDefault="00781B5E" w:rsidP="00E763FC">
      <w:pPr>
        <w:spacing w:before="120" w:after="120"/>
        <w:ind w:firstLine="720"/>
        <w:jc w:val="both"/>
        <w:rPr>
          <w:bCs/>
        </w:rPr>
      </w:pPr>
    </w:p>
    <w:tbl>
      <w:tblPr>
        <w:tblW w:w="0" w:type="auto"/>
        <w:tblCellMar>
          <w:left w:w="0" w:type="dxa"/>
          <w:right w:w="0" w:type="dxa"/>
        </w:tblCellMar>
        <w:tblLook w:val="0000" w:firstRow="0" w:lastRow="0" w:firstColumn="0" w:lastColumn="0" w:noHBand="0" w:noVBand="0"/>
      </w:tblPr>
      <w:tblGrid>
        <w:gridCol w:w="4238"/>
        <w:gridCol w:w="5050"/>
      </w:tblGrid>
      <w:tr w:rsidR="001338E8" w:rsidRPr="001338E8" w14:paraId="7B52DE32" w14:textId="77777777" w:rsidTr="00BF08C0">
        <w:tc>
          <w:tcPr>
            <w:tcW w:w="4238" w:type="dxa"/>
            <w:tcMar>
              <w:top w:w="0" w:type="dxa"/>
              <w:left w:w="108" w:type="dxa"/>
              <w:bottom w:w="0" w:type="dxa"/>
              <w:right w:w="108" w:type="dxa"/>
            </w:tcMar>
          </w:tcPr>
          <w:p w14:paraId="6EA6B4C3" w14:textId="77777777" w:rsidR="008405C5" w:rsidRPr="001338E8" w:rsidRDefault="008405C5" w:rsidP="008405C5">
            <w:pPr>
              <w:rPr>
                <w:b/>
                <w:i/>
                <w:sz w:val="24"/>
                <w:szCs w:val="24"/>
              </w:rPr>
            </w:pPr>
            <w:r w:rsidRPr="001338E8">
              <w:rPr>
                <w:b/>
                <w:i/>
                <w:sz w:val="24"/>
                <w:szCs w:val="24"/>
              </w:rPr>
              <w:t xml:space="preserve">Nơi nhận:      </w:t>
            </w:r>
          </w:p>
          <w:p w14:paraId="0C719687" w14:textId="77777777" w:rsidR="008405C5" w:rsidRPr="001338E8" w:rsidRDefault="008405C5" w:rsidP="008405C5">
            <w:pPr>
              <w:rPr>
                <w:sz w:val="22"/>
                <w:szCs w:val="22"/>
              </w:rPr>
            </w:pPr>
            <w:r w:rsidRPr="001338E8">
              <w:rPr>
                <w:sz w:val="22"/>
                <w:szCs w:val="22"/>
              </w:rPr>
              <w:t>- HĐND tỉnh (để trình);</w:t>
            </w:r>
          </w:p>
          <w:p w14:paraId="7CA86BEA" w14:textId="77777777" w:rsidR="008405C5" w:rsidRPr="001338E8" w:rsidRDefault="008405C5" w:rsidP="008405C5">
            <w:pPr>
              <w:rPr>
                <w:sz w:val="22"/>
                <w:szCs w:val="22"/>
              </w:rPr>
            </w:pPr>
            <w:r w:rsidRPr="001338E8">
              <w:rPr>
                <w:sz w:val="22"/>
                <w:szCs w:val="22"/>
              </w:rPr>
              <w:t>- CT, các PCT UBND tỉnh;</w:t>
            </w:r>
          </w:p>
          <w:p w14:paraId="6440FD05" w14:textId="77777777" w:rsidR="008405C5" w:rsidRPr="001338E8" w:rsidRDefault="008405C5" w:rsidP="008405C5">
            <w:pPr>
              <w:rPr>
                <w:sz w:val="22"/>
                <w:szCs w:val="22"/>
              </w:rPr>
            </w:pPr>
            <w:r w:rsidRPr="001338E8">
              <w:rPr>
                <w:sz w:val="22"/>
                <w:szCs w:val="22"/>
              </w:rPr>
              <w:t xml:space="preserve">- Sở TN&amp;MT; </w:t>
            </w:r>
          </w:p>
          <w:p w14:paraId="2C37A353" w14:textId="77777777" w:rsidR="008405C5" w:rsidRPr="001338E8" w:rsidRDefault="008405C5" w:rsidP="008405C5">
            <w:pPr>
              <w:rPr>
                <w:sz w:val="22"/>
                <w:szCs w:val="22"/>
              </w:rPr>
            </w:pPr>
            <w:r w:rsidRPr="001338E8">
              <w:rPr>
                <w:sz w:val="22"/>
                <w:szCs w:val="22"/>
              </w:rPr>
              <w:t>- LĐ VP UBND tỉnh;</w:t>
            </w:r>
          </w:p>
          <w:p w14:paraId="6D818051" w14:textId="043C1D1C" w:rsidR="00142936" w:rsidRPr="001338E8" w:rsidRDefault="008405C5" w:rsidP="006B4EA2">
            <w:r w:rsidRPr="001338E8">
              <w:rPr>
                <w:sz w:val="22"/>
                <w:szCs w:val="22"/>
              </w:rPr>
              <w:t>- Lưu: VT, NN.</w:t>
            </w:r>
            <w:r w:rsidRPr="001338E8">
              <w:t xml:space="preserve">   </w:t>
            </w:r>
          </w:p>
        </w:tc>
        <w:tc>
          <w:tcPr>
            <w:tcW w:w="5050" w:type="dxa"/>
            <w:tcMar>
              <w:top w:w="0" w:type="dxa"/>
              <w:left w:w="108" w:type="dxa"/>
              <w:bottom w:w="0" w:type="dxa"/>
              <w:right w:w="108" w:type="dxa"/>
            </w:tcMar>
          </w:tcPr>
          <w:p w14:paraId="3FC6A15D" w14:textId="77777777" w:rsidR="00142936" w:rsidRPr="001338E8" w:rsidRDefault="00306A90" w:rsidP="00306A90">
            <w:pPr>
              <w:jc w:val="center"/>
              <w:rPr>
                <w:b/>
                <w:bCs/>
              </w:rPr>
            </w:pPr>
            <w:r w:rsidRPr="001338E8">
              <w:rPr>
                <w:b/>
                <w:bCs/>
              </w:rPr>
              <w:t>TM. ỦY BAN NHÂN DÂN</w:t>
            </w:r>
          </w:p>
          <w:p w14:paraId="4353A7A3" w14:textId="1EF817ED" w:rsidR="00306A90" w:rsidRPr="001338E8" w:rsidRDefault="00306A90" w:rsidP="00BF08C0">
            <w:pPr>
              <w:jc w:val="center"/>
            </w:pPr>
            <w:r w:rsidRPr="001338E8">
              <w:rPr>
                <w:b/>
                <w:bCs/>
              </w:rPr>
              <w:t>CHỦ TỊCH</w:t>
            </w:r>
          </w:p>
        </w:tc>
      </w:tr>
    </w:tbl>
    <w:p w14:paraId="2303FA0D" w14:textId="77777777" w:rsidR="00306A90" w:rsidRPr="001338E8" w:rsidRDefault="00306A90" w:rsidP="006B4EA2"/>
    <w:sectPr w:rsidR="00306A90" w:rsidRPr="001338E8" w:rsidSect="00495B7F">
      <w:headerReference w:type="default" r:id="rId8"/>
      <w:footerReference w:type="default" r:id="rId9"/>
      <w:pgSz w:w="11907" w:h="16839" w:code="9"/>
      <w:pgMar w:top="1134" w:right="851" w:bottom="851"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4428E" w14:textId="77777777" w:rsidR="000C1E98" w:rsidRDefault="000C1E98" w:rsidP="00F444A6">
      <w:r>
        <w:separator/>
      </w:r>
    </w:p>
  </w:endnote>
  <w:endnote w:type="continuationSeparator" w:id="0">
    <w:p w14:paraId="7374FA9D" w14:textId="77777777" w:rsidR="000C1E98" w:rsidRDefault="000C1E98" w:rsidP="00F4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88DE" w14:textId="021DD7C9" w:rsidR="004D1814" w:rsidRDefault="004D1814">
    <w:pPr>
      <w:pStyle w:val="Footer"/>
      <w:jc w:val="center"/>
    </w:pPr>
  </w:p>
  <w:p w14:paraId="659898C5" w14:textId="77777777" w:rsidR="004D1814" w:rsidRDefault="004D1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79E6A" w14:textId="77777777" w:rsidR="000C1E98" w:rsidRDefault="000C1E98" w:rsidP="00F444A6">
      <w:r>
        <w:separator/>
      </w:r>
    </w:p>
  </w:footnote>
  <w:footnote w:type="continuationSeparator" w:id="0">
    <w:p w14:paraId="2027BC22" w14:textId="77777777" w:rsidR="000C1E98" w:rsidRDefault="000C1E98" w:rsidP="00F4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790621"/>
      <w:docPartObj>
        <w:docPartGallery w:val="Page Numbers (Top of Page)"/>
        <w:docPartUnique/>
      </w:docPartObj>
    </w:sdtPr>
    <w:sdtEndPr>
      <w:rPr>
        <w:noProof/>
      </w:rPr>
    </w:sdtEndPr>
    <w:sdtContent>
      <w:p w14:paraId="67285905" w14:textId="29B1AD6B" w:rsidR="0010610A" w:rsidRDefault="0010610A" w:rsidP="0010610A">
        <w:pPr>
          <w:pStyle w:val="Header"/>
          <w:jc w:val="center"/>
        </w:pPr>
        <w:r>
          <w:fldChar w:fldCharType="begin"/>
        </w:r>
        <w:r>
          <w:instrText xml:space="preserve"> PAGE   \* MERGEFORMAT </w:instrText>
        </w:r>
        <w:r>
          <w:fldChar w:fldCharType="separate"/>
        </w:r>
        <w:r w:rsidR="00495B7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24196"/>
    <w:multiLevelType w:val="hybridMultilevel"/>
    <w:tmpl w:val="2C80AF32"/>
    <w:lvl w:ilvl="0" w:tplc="3A902BFE">
      <w:start w:val="9"/>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936"/>
    <w:rsid w:val="00001E94"/>
    <w:rsid w:val="00021024"/>
    <w:rsid w:val="00023E59"/>
    <w:rsid w:val="00035E1F"/>
    <w:rsid w:val="00036E54"/>
    <w:rsid w:val="00037BFF"/>
    <w:rsid w:val="000400B2"/>
    <w:rsid w:val="00041C5F"/>
    <w:rsid w:val="00042827"/>
    <w:rsid w:val="00070DF6"/>
    <w:rsid w:val="0007537A"/>
    <w:rsid w:val="000874D5"/>
    <w:rsid w:val="00096538"/>
    <w:rsid w:val="000A1FF3"/>
    <w:rsid w:val="000B5450"/>
    <w:rsid w:val="000B7D24"/>
    <w:rsid w:val="000C1E98"/>
    <w:rsid w:val="000D19C9"/>
    <w:rsid w:val="000D23C9"/>
    <w:rsid w:val="000D2959"/>
    <w:rsid w:val="000D2C9C"/>
    <w:rsid w:val="000F31BE"/>
    <w:rsid w:val="00100FAA"/>
    <w:rsid w:val="0010465D"/>
    <w:rsid w:val="0010610A"/>
    <w:rsid w:val="0011083B"/>
    <w:rsid w:val="0011782F"/>
    <w:rsid w:val="001219AD"/>
    <w:rsid w:val="0012259D"/>
    <w:rsid w:val="00131B08"/>
    <w:rsid w:val="001338E8"/>
    <w:rsid w:val="00134260"/>
    <w:rsid w:val="0013463F"/>
    <w:rsid w:val="00142936"/>
    <w:rsid w:val="00153927"/>
    <w:rsid w:val="00157A9B"/>
    <w:rsid w:val="0016316C"/>
    <w:rsid w:val="00163ABD"/>
    <w:rsid w:val="00166D43"/>
    <w:rsid w:val="001679D3"/>
    <w:rsid w:val="001723BF"/>
    <w:rsid w:val="00175AF4"/>
    <w:rsid w:val="0017745B"/>
    <w:rsid w:val="00177827"/>
    <w:rsid w:val="00177B38"/>
    <w:rsid w:val="001B5A6C"/>
    <w:rsid w:val="001C6A8F"/>
    <w:rsid w:val="0020190E"/>
    <w:rsid w:val="00204239"/>
    <w:rsid w:val="0021065F"/>
    <w:rsid w:val="00223489"/>
    <w:rsid w:val="00223A23"/>
    <w:rsid w:val="002350CF"/>
    <w:rsid w:val="00247FE6"/>
    <w:rsid w:val="00255836"/>
    <w:rsid w:val="00260DEB"/>
    <w:rsid w:val="0026137C"/>
    <w:rsid w:val="002616B6"/>
    <w:rsid w:val="00261E7C"/>
    <w:rsid w:val="00262C02"/>
    <w:rsid w:val="0026303F"/>
    <w:rsid w:val="00267651"/>
    <w:rsid w:val="00273B06"/>
    <w:rsid w:val="00282DDE"/>
    <w:rsid w:val="00283713"/>
    <w:rsid w:val="00292316"/>
    <w:rsid w:val="002A0CD2"/>
    <w:rsid w:val="002B3CB4"/>
    <w:rsid w:val="002B6D9C"/>
    <w:rsid w:val="002B7D6B"/>
    <w:rsid w:val="002C6926"/>
    <w:rsid w:val="002D2779"/>
    <w:rsid w:val="002D2B6E"/>
    <w:rsid w:val="002D512D"/>
    <w:rsid w:val="002D6C41"/>
    <w:rsid w:val="002E7043"/>
    <w:rsid w:val="002F0C23"/>
    <w:rsid w:val="002F38A1"/>
    <w:rsid w:val="002F3FAF"/>
    <w:rsid w:val="002F454E"/>
    <w:rsid w:val="00304D3C"/>
    <w:rsid w:val="00306A90"/>
    <w:rsid w:val="00311079"/>
    <w:rsid w:val="003110EB"/>
    <w:rsid w:val="0031169E"/>
    <w:rsid w:val="00316DE8"/>
    <w:rsid w:val="0032564E"/>
    <w:rsid w:val="0034050F"/>
    <w:rsid w:val="00355E6D"/>
    <w:rsid w:val="00393658"/>
    <w:rsid w:val="003A402E"/>
    <w:rsid w:val="003B640D"/>
    <w:rsid w:val="003C14B4"/>
    <w:rsid w:val="003D38E7"/>
    <w:rsid w:val="003D7A57"/>
    <w:rsid w:val="003E0EA8"/>
    <w:rsid w:val="003E3EE1"/>
    <w:rsid w:val="003E4DF7"/>
    <w:rsid w:val="003F519A"/>
    <w:rsid w:val="004010FF"/>
    <w:rsid w:val="00401AB9"/>
    <w:rsid w:val="004047B0"/>
    <w:rsid w:val="00410670"/>
    <w:rsid w:val="00413476"/>
    <w:rsid w:val="00415D56"/>
    <w:rsid w:val="0041622C"/>
    <w:rsid w:val="00420623"/>
    <w:rsid w:val="004409A2"/>
    <w:rsid w:val="00442F13"/>
    <w:rsid w:val="00443705"/>
    <w:rsid w:val="00453CE9"/>
    <w:rsid w:val="00457927"/>
    <w:rsid w:val="004664AA"/>
    <w:rsid w:val="0048055F"/>
    <w:rsid w:val="00480A55"/>
    <w:rsid w:val="00482331"/>
    <w:rsid w:val="00490FE9"/>
    <w:rsid w:val="00492C3B"/>
    <w:rsid w:val="00495291"/>
    <w:rsid w:val="00495B7F"/>
    <w:rsid w:val="004A13D3"/>
    <w:rsid w:val="004A408C"/>
    <w:rsid w:val="004A785C"/>
    <w:rsid w:val="004B4FF2"/>
    <w:rsid w:val="004B66E6"/>
    <w:rsid w:val="004D118F"/>
    <w:rsid w:val="004D1814"/>
    <w:rsid w:val="004D362E"/>
    <w:rsid w:val="004D5811"/>
    <w:rsid w:val="004E655F"/>
    <w:rsid w:val="004F0E9C"/>
    <w:rsid w:val="005011EF"/>
    <w:rsid w:val="00501A97"/>
    <w:rsid w:val="005020BD"/>
    <w:rsid w:val="0051340A"/>
    <w:rsid w:val="00513E95"/>
    <w:rsid w:val="0052032B"/>
    <w:rsid w:val="00526C9A"/>
    <w:rsid w:val="00532B5D"/>
    <w:rsid w:val="00533557"/>
    <w:rsid w:val="005354B3"/>
    <w:rsid w:val="00551A15"/>
    <w:rsid w:val="00557653"/>
    <w:rsid w:val="00583496"/>
    <w:rsid w:val="00586255"/>
    <w:rsid w:val="005865FD"/>
    <w:rsid w:val="00590C25"/>
    <w:rsid w:val="005B0E5E"/>
    <w:rsid w:val="005B2A53"/>
    <w:rsid w:val="005B3678"/>
    <w:rsid w:val="005B510C"/>
    <w:rsid w:val="005C6598"/>
    <w:rsid w:val="005E0C1D"/>
    <w:rsid w:val="00606C98"/>
    <w:rsid w:val="006117D0"/>
    <w:rsid w:val="00612AB9"/>
    <w:rsid w:val="006230D8"/>
    <w:rsid w:val="0062661F"/>
    <w:rsid w:val="0063138C"/>
    <w:rsid w:val="00632FCF"/>
    <w:rsid w:val="0064019D"/>
    <w:rsid w:val="00657575"/>
    <w:rsid w:val="006653E7"/>
    <w:rsid w:val="0066728A"/>
    <w:rsid w:val="006673B4"/>
    <w:rsid w:val="00667B7C"/>
    <w:rsid w:val="006826FE"/>
    <w:rsid w:val="00684266"/>
    <w:rsid w:val="006963F6"/>
    <w:rsid w:val="006B4834"/>
    <w:rsid w:val="006B4EA2"/>
    <w:rsid w:val="006D0BF0"/>
    <w:rsid w:val="006E13FB"/>
    <w:rsid w:val="006E1A78"/>
    <w:rsid w:val="006F2807"/>
    <w:rsid w:val="006F30AA"/>
    <w:rsid w:val="006F30D0"/>
    <w:rsid w:val="007054E3"/>
    <w:rsid w:val="00711EA5"/>
    <w:rsid w:val="0072368E"/>
    <w:rsid w:val="007320DC"/>
    <w:rsid w:val="00736264"/>
    <w:rsid w:val="0073657B"/>
    <w:rsid w:val="00743C6D"/>
    <w:rsid w:val="00745AC9"/>
    <w:rsid w:val="0076075E"/>
    <w:rsid w:val="007627E1"/>
    <w:rsid w:val="00763604"/>
    <w:rsid w:val="007640E2"/>
    <w:rsid w:val="00772AED"/>
    <w:rsid w:val="00781B5E"/>
    <w:rsid w:val="007A1BED"/>
    <w:rsid w:val="007B2B5E"/>
    <w:rsid w:val="007C2A8E"/>
    <w:rsid w:val="007C7015"/>
    <w:rsid w:val="007D13DD"/>
    <w:rsid w:val="007E04B1"/>
    <w:rsid w:val="007F0B37"/>
    <w:rsid w:val="007F1D8D"/>
    <w:rsid w:val="007F5E01"/>
    <w:rsid w:val="008026CA"/>
    <w:rsid w:val="0080460D"/>
    <w:rsid w:val="00804A53"/>
    <w:rsid w:val="00821590"/>
    <w:rsid w:val="0082191B"/>
    <w:rsid w:val="00824DD7"/>
    <w:rsid w:val="00827307"/>
    <w:rsid w:val="008273C0"/>
    <w:rsid w:val="00830F8B"/>
    <w:rsid w:val="008355F1"/>
    <w:rsid w:val="008405C5"/>
    <w:rsid w:val="00844320"/>
    <w:rsid w:val="008449B7"/>
    <w:rsid w:val="00852971"/>
    <w:rsid w:val="00856EF5"/>
    <w:rsid w:val="00857859"/>
    <w:rsid w:val="00862234"/>
    <w:rsid w:val="00862C4A"/>
    <w:rsid w:val="008743EE"/>
    <w:rsid w:val="00887A56"/>
    <w:rsid w:val="00890BBC"/>
    <w:rsid w:val="00892E1B"/>
    <w:rsid w:val="00893DA5"/>
    <w:rsid w:val="008A5CD3"/>
    <w:rsid w:val="008B0C04"/>
    <w:rsid w:val="008C25F0"/>
    <w:rsid w:val="008C2CE2"/>
    <w:rsid w:val="008C316A"/>
    <w:rsid w:val="008C77E6"/>
    <w:rsid w:val="008D1B02"/>
    <w:rsid w:val="008D7DBC"/>
    <w:rsid w:val="008E1DD7"/>
    <w:rsid w:val="008E4F87"/>
    <w:rsid w:val="008F249D"/>
    <w:rsid w:val="008F3B19"/>
    <w:rsid w:val="00901F01"/>
    <w:rsid w:val="0091315E"/>
    <w:rsid w:val="009216EE"/>
    <w:rsid w:val="009221CA"/>
    <w:rsid w:val="00944D3C"/>
    <w:rsid w:val="0094741B"/>
    <w:rsid w:val="00953F55"/>
    <w:rsid w:val="00965B2C"/>
    <w:rsid w:val="00967E1A"/>
    <w:rsid w:val="00981392"/>
    <w:rsid w:val="00990CDC"/>
    <w:rsid w:val="009A07EF"/>
    <w:rsid w:val="009A170A"/>
    <w:rsid w:val="009A18A4"/>
    <w:rsid w:val="009A7405"/>
    <w:rsid w:val="009B6352"/>
    <w:rsid w:val="009C23DC"/>
    <w:rsid w:val="009C3E74"/>
    <w:rsid w:val="009C4019"/>
    <w:rsid w:val="009C54AB"/>
    <w:rsid w:val="009C62F0"/>
    <w:rsid w:val="009D2F2F"/>
    <w:rsid w:val="009E4E4E"/>
    <w:rsid w:val="009F14D1"/>
    <w:rsid w:val="009F5BF3"/>
    <w:rsid w:val="009F6BF3"/>
    <w:rsid w:val="00A25CBA"/>
    <w:rsid w:val="00A268DF"/>
    <w:rsid w:val="00A302C6"/>
    <w:rsid w:val="00A33FE2"/>
    <w:rsid w:val="00A42FE8"/>
    <w:rsid w:val="00A433EF"/>
    <w:rsid w:val="00A46EBB"/>
    <w:rsid w:val="00A51712"/>
    <w:rsid w:val="00A52765"/>
    <w:rsid w:val="00A53EBA"/>
    <w:rsid w:val="00A657E3"/>
    <w:rsid w:val="00A66FBB"/>
    <w:rsid w:val="00A716ED"/>
    <w:rsid w:val="00A7281C"/>
    <w:rsid w:val="00A73360"/>
    <w:rsid w:val="00A800F5"/>
    <w:rsid w:val="00AA01E1"/>
    <w:rsid w:val="00AA0439"/>
    <w:rsid w:val="00AA183F"/>
    <w:rsid w:val="00AA3470"/>
    <w:rsid w:val="00AC246A"/>
    <w:rsid w:val="00AD0618"/>
    <w:rsid w:val="00AD1C96"/>
    <w:rsid w:val="00AE0A98"/>
    <w:rsid w:val="00AF562D"/>
    <w:rsid w:val="00AF730E"/>
    <w:rsid w:val="00B009E1"/>
    <w:rsid w:val="00B043AE"/>
    <w:rsid w:val="00B07A54"/>
    <w:rsid w:val="00B1414C"/>
    <w:rsid w:val="00B21D5D"/>
    <w:rsid w:val="00B27BBE"/>
    <w:rsid w:val="00B355EB"/>
    <w:rsid w:val="00B61C0D"/>
    <w:rsid w:val="00B64C32"/>
    <w:rsid w:val="00B73515"/>
    <w:rsid w:val="00B80627"/>
    <w:rsid w:val="00B81C6B"/>
    <w:rsid w:val="00B84663"/>
    <w:rsid w:val="00B87C14"/>
    <w:rsid w:val="00B92765"/>
    <w:rsid w:val="00BA45BC"/>
    <w:rsid w:val="00BA571C"/>
    <w:rsid w:val="00BB19F6"/>
    <w:rsid w:val="00BB3D2C"/>
    <w:rsid w:val="00BC33A2"/>
    <w:rsid w:val="00BC5C67"/>
    <w:rsid w:val="00BD4DB8"/>
    <w:rsid w:val="00BF08C0"/>
    <w:rsid w:val="00C00158"/>
    <w:rsid w:val="00C01EDE"/>
    <w:rsid w:val="00C0566A"/>
    <w:rsid w:val="00C1494D"/>
    <w:rsid w:val="00C22F63"/>
    <w:rsid w:val="00C30762"/>
    <w:rsid w:val="00C40C41"/>
    <w:rsid w:val="00C52E46"/>
    <w:rsid w:val="00C54435"/>
    <w:rsid w:val="00C57EFA"/>
    <w:rsid w:val="00C639DD"/>
    <w:rsid w:val="00C735B9"/>
    <w:rsid w:val="00C756EB"/>
    <w:rsid w:val="00C759D3"/>
    <w:rsid w:val="00C81A88"/>
    <w:rsid w:val="00C82D0A"/>
    <w:rsid w:val="00C83D31"/>
    <w:rsid w:val="00C8571A"/>
    <w:rsid w:val="00C93F80"/>
    <w:rsid w:val="00C94BAA"/>
    <w:rsid w:val="00CA2A6F"/>
    <w:rsid w:val="00CB22AF"/>
    <w:rsid w:val="00CB647D"/>
    <w:rsid w:val="00CC0C10"/>
    <w:rsid w:val="00CC5459"/>
    <w:rsid w:val="00CC6923"/>
    <w:rsid w:val="00CE7D2A"/>
    <w:rsid w:val="00CF72CD"/>
    <w:rsid w:val="00D00064"/>
    <w:rsid w:val="00D013D4"/>
    <w:rsid w:val="00D01C59"/>
    <w:rsid w:val="00D02735"/>
    <w:rsid w:val="00D064AA"/>
    <w:rsid w:val="00D12E25"/>
    <w:rsid w:val="00D1411F"/>
    <w:rsid w:val="00D15C2C"/>
    <w:rsid w:val="00D20732"/>
    <w:rsid w:val="00D2446E"/>
    <w:rsid w:val="00D411B7"/>
    <w:rsid w:val="00D46544"/>
    <w:rsid w:val="00D500CC"/>
    <w:rsid w:val="00D513A7"/>
    <w:rsid w:val="00D526DB"/>
    <w:rsid w:val="00D549FF"/>
    <w:rsid w:val="00D60588"/>
    <w:rsid w:val="00D612D0"/>
    <w:rsid w:val="00D63260"/>
    <w:rsid w:val="00D63D8C"/>
    <w:rsid w:val="00D64464"/>
    <w:rsid w:val="00D76AFA"/>
    <w:rsid w:val="00D91007"/>
    <w:rsid w:val="00DA05EA"/>
    <w:rsid w:val="00DA3135"/>
    <w:rsid w:val="00DB25C9"/>
    <w:rsid w:val="00DC1A9C"/>
    <w:rsid w:val="00DC7C2C"/>
    <w:rsid w:val="00DD1027"/>
    <w:rsid w:val="00DE0269"/>
    <w:rsid w:val="00DE10A2"/>
    <w:rsid w:val="00DF0344"/>
    <w:rsid w:val="00DF290D"/>
    <w:rsid w:val="00DF506D"/>
    <w:rsid w:val="00E002D3"/>
    <w:rsid w:val="00E0279B"/>
    <w:rsid w:val="00E12DD6"/>
    <w:rsid w:val="00E12F07"/>
    <w:rsid w:val="00E13CA3"/>
    <w:rsid w:val="00E2730F"/>
    <w:rsid w:val="00E369E3"/>
    <w:rsid w:val="00E465B4"/>
    <w:rsid w:val="00E5032A"/>
    <w:rsid w:val="00E62F3A"/>
    <w:rsid w:val="00E763FC"/>
    <w:rsid w:val="00EA185B"/>
    <w:rsid w:val="00EA2CBA"/>
    <w:rsid w:val="00EB2B56"/>
    <w:rsid w:val="00EB3FEC"/>
    <w:rsid w:val="00EB676C"/>
    <w:rsid w:val="00EB733A"/>
    <w:rsid w:val="00EB7B8B"/>
    <w:rsid w:val="00EC726F"/>
    <w:rsid w:val="00ED104C"/>
    <w:rsid w:val="00EE1884"/>
    <w:rsid w:val="00EE387E"/>
    <w:rsid w:val="00EE43BD"/>
    <w:rsid w:val="00EE4A73"/>
    <w:rsid w:val="00EE4C5B"/>
    <w:rsid w:val="00EF51CD"/>
    <w:rsid w:val="00EF5E8C"/>
    <w:rsid w:val="00F02456"/>
    <w:rsid w:val="00F11A3B"/>
    <w:rsid w:val="00F11D8F"/>
    <w:rsid w:val="00F1339B"/>
    <w:rsid w:val="00F31C41"/>
    <w:rsid w:val="00F4370B"/>
    <w:rsid w:val="00F442B6"/>
    <w:rsid w:val="00F444A6"/>
    <w:rsid w:val="00F611E5"/>
    <w:rsid w:val="00F65768"/>
    <w:rsid w:val="00F73286"/>
    <w:rsid w:val="00F7359D"/>
    <w:rsid w:val="00F815C0"/>
    <w:rsid w:val="00F815C2"/>
    <w:rsid w:val="00F82341"/>
    <w:rsid w:val="00F83E50"/>
    <w:rsid w:val="00F92491"/>
    <w:rsid w:val="00F94A56"/>
    <w:rsid w:val="00FA0113"/>
    <w:rsid w:val="00FA147E"/>
    <w:rsid w:val="00FB02B9"/>
    <w:rsid w:val="00FC4985"/>
    <w:rsid w:val="00FD212F"/>
    <w:rsid w:val="00FD3965"/>
    <w:rsid w:val="00FD3E10"/>
    <w:rsid w:val="00FE211B"/>
    <w:rsid w:val="00FE4D16"/>
    <w:rsid w:val="00FF344B"/>
    <w:rsid w:val="00FF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FBFD"/>
  <w15:docId w15:val="{2A7EFB9D-722C-4FF3-B1B2-6E1AB338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936"/>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rsid w:val="00E5032A"/>
    <w:pPr>
      <w:keepNext/>
      <w:keepLines/>
      <w:widowControl w:val="0"/>
      <w:suppressAutoHyphens/>
      <w:autoSpaceDN w:val="0"/>
      <w:spacing w:before="200"/>
      <w:textAlignment w:val="baseline"/>
      <w:outlineLvl w:val="2"/>
    </w:pPr>
    <w:rPr>
      <w:rFonts w:ascii="Cambria" w:hAnsi="Cambria" w:cs="Mangal"/>
      <w:b/>
      <w:bCs/>
      <w:color w:val="4F81BD"/>
      <w:kern w:val="3"/>
      <w:sz w:val="24"/>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032A"/>
    <w:rPr>
      <w:rFonts w:ascii="Cambria" w:eastAsia="Times New Roman" w:hAnsi="Cambria" w:cs="Mangal"/>
      <w:b/>
      <w:bCs/>
      <w:color w:val="4F81BD"/>
      <w:kern w:val="3"/>
      <w:sz w:val="24"/>
      <w:szCs w:val="21"/>
      <w:lang w:eastAsia="zh-CN" w:bidi="hi-IN"/>
    </w:rPr>
  </w:style>
  <w:style w:type="paragraph" w:styleId="BodyTextIndent">
    <w:name w:val="Body Text Indent"/>
    <w:basedOn w:val="Normal"/>
    <w:link w:val="BodyTextIndentChar"/>
    <w:rsid w:val="00142936"/>
    <w:pPr>
      <w:spacing w:after="120"/>
      <w:ind w:left="360"/>
    </w:pPr>
    <w:rPr>
      <w:sz w:val="24"/>
      <w:szCs w:val="24"/>
    </w:rPr>
  </w:style>
  <w:style w:type="character" w:customStyle="1" w:styleId="BodyTextIndentChar">
    <w:name w:val="Body Text Indent Char"/>
    <w:basedOn w:val="DefaultParagraphFont"/>
    <w:link w:val="BodyTextIndent"/>
    <w:rsid w:val="00142936"/>
    <w:rPr>
      <w:rFonts w:ascii="Times New Roman" w:eastAsia="Times New Roman" w:hAnsi="Times New Roman" w:cs="Times New Roman"/>
      <w:sz w:val="24"/>
      <w:szCs w:val="24"/>
    </w:rPr>
  </w:style>
  <w:style w:type="paragraph" w:customStyle="1" w:styleId="Char">
    <w:name w:val="Char"/>
    <w:basedOn w:val="Normal"/>
    <w:semiHidden/>
    <w:rsid w:val="00142936"/>
    <w:pPr>
      <w:spacing w:after="160" w:line="240" w:lineRule="exact"/>
    </w:pPr>
    <w:rPr>
      <w:rFonts w:ascii="Arial" w:hAnsi="Arial"/>
      <w:sz w:val="22"/>
      <w:szCs w:val="22"/>
    </w:rPr>
  </w:style>
  <w:style w:type="paragraph" w:styleId="NormalWeb">
    <w:name w:val="Normal (Web)"/>
    <w:basedOn w:val="Normal"/>
    <w:uiPriority w:val="99"/>
    <w:rsid w:val="00E5032A"/>
    <w:pPr>
      <w:autoSpaceDN w:val="0"/>
      <w:spacing w:before="100" w:after="100"/>
    </w:pPr>
    <w:rPr>
      <w:sz w:val="24"/>
      <w:szCs w:val="24"/>
    </w:rPr>
  </w:style>
  <w:style w:type="paragraph" w:customStyle="1" w:styleId="Textbody">
    <w:name w:val="Text body"/>
    <w:basedOn w:val="Normal"/>
    <w:rsid w:val="006F30AA"/>
    <w:pPr>
      <w:widowControl w:val="0"/>
      <w:suppressAutoHyphens/>
      <w:autoSpaceDN w:val="0"/>
      <w:spacing w:after="120"/>
      <w:textAlignment w:val="baseline"/>
    </w:pPr>
    <w:rPr>
      <w:rFonts w:eastAsia="Arial Unicode MS" w:cs="Mangal"/>
      <w:kern w:val="3"/>
      <w:sz w:val="24"/>
      <w:szCs w:val="24"/>
      <w:lang w:eastAsia="zh-CN" w:bidi="hi-IN"/>
    </w:rPr>
  </w:style>
  <w:style w:type="paragraph" w:styleId="Header">
    <w:name w:val="header"/>
    <w:basedOn w:val="Normal"/>
    <w:link w:val="HeaderChar"/>
    <w:uiPriority w:val="99"/>
    <w:unhideWhenUsed/>
    <w:rsid w:val="00F444A6"/>
    <w:pPr>
      <w:tabs>
        <w:tab w:val="center" w:pos="4680"/>
        <w:tab w:val="right" w:pos="9360"/>
      </w:tabs>
    </w:pPr>
  </w:style>
  <w:style w:type="character" w:customStyle="1" w:styleId="HeaderChar">
    <w:name w:val="Header Char"/>
    <w:basedOn w:val="DefaultParagraphFont"/>
    <w:link w:val="Header"/>
    <w:uiPriority w:val="99"/>
    <w:rsid w:val="00F444A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444A6"/>
    <w:pPr>
      <w:tabs>
        <w:tab w:val="center" w:pos="4680"/>
        <w:tab w:val="right" w:pos="9360"/>
      </w:tabs>
    </w:pPr>
  </w:style>
  <w:style w:type="character" w:customStyle="1" w:styleId="FooterChar">
    <w:name w:val="Footer Char"/>
    <w:basedOn w:val="DefaultParagraphFont"/>
    <w:link w:val="Footer"/>
    <w:uiPriority w:val="99"/>
    <w:rsid w:val="00F444A6"/>
    <w:rPr>
      <w:rFonts w:ascii="Times New Roman" w:eastAsia="Times New Roman" w:hAnsi="Times New Roman" w:cs="Times New Roman"/>
      <w:sz w:val="28"/>
      <w:szCs w:val="28"/>
    </w:rPr>
  </w:style>
  <w:style w:type="paragraph" w:styleId="ListParagraph">
    <w:name w:val="List Paragraph"/>
    <w:basedOn w:val="Normal"/>
    <w:uiPriority w:val="34"/>
    <w:qFormat/>
    <w:rsid w:val="00204239"/>
    <w:pPr>
      <w:ind w:left="720"/>
      <w:contextualSpacing/>
    </w:pPr>
  </w:style>
  <w:style w:type="paragraph" w:styleId="BalloonText">
    <w:name w:val="Balloon Text"/>
    <w:basedOn w:val="Normal"/>
    <w:link w:val="BalloonTextChar"/>
    <w:uiPriority w:val="99"/>
    <w:semiHidden/>
    <w:unhideWhenUsed/>
    <w:rsid w:val="00ED104C"/>
    <w:rPr>
      <w:rFonts w:ascii="Tahoma" w:hAnsi="Tahoma" w:cs="Tahoma"/>
      <w:sz w:val="16"/>
      <w:szCs w:val="16"/>
    </w:rPr>
  </w:style>
  <w:style w:type="character" w:customStyle="1" w:styleId="BalloonTextChar">
    <w:name w:val="Balloon Text Char"/>
    <w:basedOn w:val="DefaultParagraphFont"/>
    <w:link w:val="BalloonText"/>
    <w:uiPriority w:val="99"/>
    <w:semiHidden/>
    <w:rsid w:val="00ED104C"/>
    <w:rPr>
      <w:rFonts w:ascii="Tahoma" w:eastAsia="Times New Roman" w:hAnsi="Tahoma" w:cs="Tahoma"/>
      <w:sz w:val="16"/>
      <w:szCs w:val="16"/>
    </w:rPr>
  </w:style>
  <w:style w:type="character" w:customStyle="1" w:styleId="fontstyle01">
    <w:name w:val="fontstyle01"/>
    <w:basedOn w:val="DefaultParagraphFont"/>
    <w:rsid w:val="000B7D24"/>
    <w:rPr>
      <w:rFonts w:ascii="Helvetica" w:hAnsi="Helvetica" w:cs="Helvetica" w:hint="default"/>
      <w:b w:val="0"/>
      <w:bCs w:val="0"/>
      <w:i w:val="0"/>
      <w:iCs w:val="0"/>
      <w:color w:val="000000"/>
      <w:sz w:val="24"/>
      <w:szCs w:val="24"/>
    </w:rPr>
  </w:style>
  <w:style w:type="character" w:customStyle="1" w:styleId="CommentTextChar">
    <w:name w:val="Comment Text Char"/>
    <w:basedOn w:val="DefaultParagraphFont"/>
    <w:link w:val="CommentText"/>
    <w:uiPriority w:val="99"/>
    <w:semiHidden/>
    <w:rsid w:val="004D181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D1814"/>
    <w:rPr>
      <w:sz w:val="20"/>
      <w:szCs w:val="20"/>
    </w:rPr>
  </w:style>
  <w:style w:type="character" w:customStyle="1" w:styleId="CommentSubjectChar">
    <w:name w:val="Comment Subject Char"/>
    <w:basedOn w:val="CommentTextChar"/>
    <w:link w:val="CommentSubject"/>
    <w:uiPriority w:val="99"/>
    <w:semiHidden/>
    <w:rsid w:val="004D181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D1814"/>
    <w:rPr>
      <w:b/>
      <w:bCs/>
    </w:rPr>
  </w:style>
  <w:style w:type="character" w:styleId="CommentReference">
    <w:name w:val="annotation reference"/>
    <w:basedOn w:val="DefaultParagraphFont"/>
    <w:uiPriority w:val="99"/>
    <w:semiHidden/>
    <w:unhideWhenUsed/>
    <w:rsid w:val="00856EF5"/>
    <w:rPr>
      <w:sz w:val="16"/>
      <w:szCs w:val="16"/>
    </w:rPr>
  </w:style>
  <w:style w:type="paragraph" w:customStyle="1" w:styleId="Default">
    <w:name w:val="Default"/>
    <w:rsid w:val="00856EF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B640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rsid w:val="008449B7"/>
    <w:pPr>
      <w:spacing w:before="100" w:beforeAutospacing="1" w:after="100" w:afterAutospacing="1" w:line="360" w:lineRule="exact"/>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7366">
      <w:bodyDiv w:val="1"/>
      <w:marLeft w:val="0"/>
      <w:marRight w:val="0"/>
      <w:marTop w:val="0"/>
      <w:marBottom w:val="0"/>
      <w:divBdr>
        <w:top w:val="none" w:sz="0" w:space="0" w:color="auto"/>
        <w:left w:val="none" w:sz="0" w:space="0" w:color="auto"/>
        <w:bottom w:val="none" w:sz="0" w:space="0" w:color="auto"/>
        <w:right w:val="none" w:sz="0" w:space="0" w:color="auto"/>
      </w:divBdr>
    </w:div>
    <w:div w:id="390080505">
      <w:bodyDiv w:val="1"/>
      <w:marLeft w:val="0"/>
      <w:marRight w:val="0"/>
      <w:marTop w:val="0"/>
      <w:marBottom w:val="0"/>
      <w:divBdr>
        <w:top w:val="none" w:sz="0" w:space="0" w:color="auto"/>
        <w:left w:val="none" w:sz="0" w:space="0" w:color="auto"/>
        <w:bottom w:val="none" w:sz="0" w:space="0" w:color="auto"/>
        <w:right w:val="none" w:sz="0" w:space="0" w:color="auto"/>
      </w:divBdr>
    </w:div>
    <w:div w:id="498085875">
      <w:bodyDiv w:val="1"/>
      <w:marLeft w:val="0"/>
      <w:marRight w:val="0"/>
      <w:marTop w:val="0"/>
      <w:marBottom w:val="0"/>
      <w:divBdr>
        <w:top w:val="none" w:sz="0" w:space="0" w:color="auto"/>
        <w:left w:val="none" w:sz="0" w:space="0" w:color="auto"/>
        <w:bottom w:val="none" w:sz="0" w:space="0" w:color="auto"/>
        <w:right w:val="none" w:sz="0" w:space="0" w:color="auto"/>
      </w:divBdr>
    </w:div>
    <w:div w:id="1076705421">
      <w:bodyDiv w:val="1"/>
      <w:marLeft w:val="0"/>
      <w:marRight w:val="0"/>
      <w:marTop w:val="0"/>
      <w:marBottom w:val="0"/>
      <w:divBdr>
        <w:top w:val="none" w:sz="0" w:space="0" w:color="auto"/>
        <w:left w:val="none" w:sz="0" w:space="0" w:color="auto"/>
        <w:bottom w:val="none" w:sz="0" w:space="0" w:color="auto"/>
        <w:right w:val="none" w:sz="0" w:space="0" w:color="auto"/>
      </w:divBdr>
    </w:div>
    <w:div w:id="1448817713">
      <w:bodyDiv w:val="1"/>
      <w:marLeft w:val="0"/>
      <w:marRight w:val="0"/>
      <w:marTop w:val="0"/>
      <w:marBottom w:val="0"/>
      <w:divBdr>
        <w:top w:val="none" w:sz="0" w:space="0" w:color="auto"/>
        <w:left w:val="none" w:sz="0" w:space="0" w:color="auto"/>
        <w:bottom w:val="none" w:sz="0" w:space="0" w:color="auto"/>
        <w:right w:val="none" w:sz="0" w:space="0" w:color="auto"/>
      </w:divBdr>
    </w:div>
    <w:div w:id="1858738063">
      <w:bodyDiv w:val="1"/>
      <w:marLeft w:val="0"/>
      <w:marRight w:val="0"/>
      <w:marTop w:val="0"/>
      <w:marBottom w:val="0"/>
      <w:divBdr>
        <w:top w:val="none" w:sz="0" w:space="0" w:color="auto"/>
        <w:left w:val="none" w:sz="0" w:space="0" w:color="auto"/>
        <w:bottom w:val="none" w:sz="0" w:space="0" w:color="auto"/>
        <w:right w:val="none" w:sz="0" w:space="0" w:color="auto"/>
      </w:divBdr>
    </w:div>
    <w:div w:id="1866748391">
      <w:bodyDiv w:val="1"/>
      <w:marLeft w:val="0"/>
      <w:marRight w:val="0"/>
      <w:marTop w:val="0"/>
      <w:marBottom w:val="0"/>
      <w:divBdr>
        <w:top w:val="none" w:sz="0" w:space="0" w:color="auto"/>
        <w:left w:val="none" w:sz="0" w:space="0" w:color="auto"/>
        <w:bottom w:val="none" w:sz="0" w:space="0" w:color="auto"/>
        <w:right w:val="none" w:sz="0" w:space="0" w:color="auto"/>
      </w:divBdr>
    </w:div>
    <w:div w:id="19887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AF10-8BEC-42E8-AC5E-9DA29C59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Minh Duc</cp:lastModifiedBy>
  <cp:revision>5</cp:revision>
  <cp:lastPrinted>2021-11-19T07:35:00Z</cp:lastPrinted>
  <dcterms:created xsi:type="dcterms:W3CDTF">2023-07-03T06:36:00Z</dcterms:created>
  <dcterms:modified xsi:type="dcterms:W3CDTF">2023-07-09T09:31:00Z</dcterms:modified>
</cp:coreProperties>
</file>